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E-7270/2023 vom 18. Januar 2024</w:t>
      </w:r>
    </w:p>
    <w:p>
      <w:r>
        <w:t>Bundesverwaltungsgericht, 2024-01-18, FR</w:t>
      </w:r>
    </w:p>
    <w:p>
      <w:r>
        <w:rPr>
          <w:b/>
        </w:rPr>
        <w:t xml:space="preserve">Quelle: </w:t>
      </w:r>
      <w:r>
        <w:t>https://mcp.opencaselaw.ch/entscheid/bvger_E-7270_2023</w:t>
      </w:r>
    </w:p>
    <w:p>
      <w:r>
        <w:t>FR: TAF E-7270/2023 du 18 janvier 2024</w:t>
      </w:r>
    </w:p>
    <w:p>
      <w:r>
        <w:t>IT: TAF E-7270/2023 del 18 gennaio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1 LAsi et art. 10 de l'ancienne Ordonnance du 1er avril 2020 sur les mesures prises dans le domaine de l'asile en raison du coronavirus [RS 142.318])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 Il y a pression psychique insupportable lorsque certaines personnes ou franges de la population sont systématiquement exposées à des atteintes graves ou répétées aux droits humains et que ces atteintes sont d'une intensité telle qu'il ne leur semble plus possible de mener une vie digne dans leur pays d'origine, au point que la fuite à l'étranger représente la seule issue possible (cf. ATAF 2013/11 consid. 5.4.2)</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En l'occurrence, à admettre les déclarations de l'intéressé, celui-ci aurait été pris pour cible - pendant six ans - par des membres du groupe Aava pour avoir refusé de leur prêter sa moto, soit un motif étranger à ceux exhaustivement listés à l'art. 3 LAsi. A cet égard, il est rappelé que ce groupe agit en premier lieu pour des motifs criminels, selon la jurisprudence du Tribunal (cf. arrêt du Tribunal D-4204/2019 du 5 septembre 2019 consid. 5.1.4). Les préjudices subis par le recourant dans ce contexte ne sont donc pas pertinents en matière d'asile. Contrairement à ce que celui-ci paraît soutenir (cf. mémoire de recours, p. 7), l'importance des préjudices n'y change rien.</w:t>
      </w:r>
    </w:p>
    <w:p>
      <w:r>
        <w:rPr>
          <w:b/>
        </w:rPr>
        <w:t>E. 3.2</w:t>
      </w:r>
    </w:p>
    <w:p>
      <w:r>
        <w:t>Les préjudices subis de la part du groupe Aava, toujours à en admettre la réalité, ne revêtent en outre pas une intensité suffisante pour constituer des persécutions au sens de la disposition précitée. Le SEM a correctement examiné cette question, quoi qu'en dise l'intéressé (cf. mémoire de recours, p. 8). Il sied en effet de relever que le recourant a continué de vivre et de travailler au Sri Lanka après l'épisode du 1er février 2017, sans même alerter les forces de l'ordre, malgré les menaces répétées dont il aurait fait l'objet depuis lors et le coup de pied qu'il aurait reçu. Or il est permis de penser qu'il aurait pris des dispositions plus tôt pour se mettre à l'abri s'il avait réellement craint pour sa sécurité, voire pour sa vie. Quoi qu'en dise le recourant, on peut au demeurant douter de la détermination des membres du groupe Aava à s'en prendre sérieusement à lui. L'intéressé a déclaré que les gangsters avaient eu l'intention de l'éliminer à plusieurs reprises, mais n'y étaient pas parvenus parce qu'il s'était à chaque fois trouvé dans des endroits fréquentés (cf. procès-verbal de l'audition sur les motifs d'asile, R141 à 143). A admettre que ce groupe criminel ait réellement eu le projet d'attenter à la vie du recourant, il aurait eu tout loisir de trouver une occasion idoine de le faire entre l'incident du 1er février 2017 et le départ du pays de l'intéressé. Il est dès lors également permis de douter du sérieux des menaces de mort que les gangsters lui auraient adressées par la suite, directement et par l'intermédiaire de sa mère. A cet égard, le Tribunal relève, à l'instar du SEM, que le recourant n'a pas allégué lors de son audition que sa mère avait été agressée par des membres du groupe Aava, contrairement à ce qui ressort de la prise de position de sa représentation juridique du 30 novembre 2023 précitée, mais uniquement qu'elle avait fait l'objet d'intimidations ou de menaces (portant sur la personne de l'intéressé ; cf. ibidem, R78 et 120). La volonté homicide prêtée par le recourant aux membres de ce groupe tranche d'ailleurs avec les précautions que ceux-ci auraient prises pour ne pas attirer l'attention de la police, en se contentant d'endommager la moto du recourant au lieu de la voler (cf. ibidem, R94). Dans ces circonstances, les agissements des membres du groupe Aava à l'encontre de l'intéressé ne sont manifestement pas de nature à lui avoir occasionné une pression psychique insupportable. Il est ainsi peu crédible que son départ du Sri Lanka ait été déterminé par la (les) agression(s) qu'il aurait subie(s) ou les menaces qui auraient été proférées à son intention devant sa mère. Il ne peut être par ailleurs retenu que des membres du groupe Aava auraient « attaqué » le domicile du recourant. D'une part, il est singulier que le recourant n'ait pas fait état de cette attaque devant le SEM, ne l'alléguant qu'au stade du recours. D'autre part, les enregistrements vidéo joints à ce recours ne permettent de déterminer ni le lieu de l'« attaque » ni les personnes impliquées. Une mise en scène pour les besoins de la cause ne peut, surtout, être exclue, tant il est étrange que l'attaque ait pu être filmée sous différents angles de vue, dont l'une en présence des assaillants. Les articles produits devant le SEM et au stade du recours ne sont pas non plus décisifs. L'article de presse du 2 février 2017 précité, qui serait relatif à l'incident survenu la veille, ne permet pas d'établir l'identité de la victime. Les articles produits au stade du recours concernent, eux, apparemment des événements n'impliquant pas l'intéressé, survenus dans des circonstances, à des dates et en des lieux différents.</w:t>
      </w:r>
    </w:p>
    <w:p>
      <w:r>
        <w:rPr>
          <w:b/>
        </w:rPr>
        <w:t>E. 3.3</w:t>
      </w:r>
    </w:p>
    <w:p>
      <w:r>
        <w:t>Il n'est enfin pas établi que le recourant n'aurait pas pu obtenir la protection des autorités sri-lankaises à l'encontre des agissements du groupe Aava, quand bien même il n'aurait pas eu confiance en la police de son pays ou que celle-ci aurait été corrompue, comme il le soutient. Quoi qu'en dise le recourant, il n'est guère convaincant qu'il se soit abstenu de dénoncer ces faits sur demande de sa mère, afin de protéger ses soeurs. Rien n'explique en effet pourquoi le groupe Aava, qui, comme exposé, avait tout loisir de s'en prendre directement à l'intéressé s'il le souhaitait, se serait attaqué à ses soeurs. De plus, rien n'indique que les autorités l'auraient soupçonné d'entretenir des liens avec le groupe Aava (sur ce point, cf. consid. 4).</w:t>
      </w:r>
    </w:p>
    <w:p>
      <w:r>
        <w:rPr>
          <w:b/>
        </w:rPr>
        <w:t>E. 3.4</w:t>
      </w:r>
    </w:p>
    <w:p>
      <w:r>
        <w:t>En définitive, les préjudices que le recourant aurait subis de la part du groupe Aava ne justifient pas de lui reconnaître la qualité de réfugié.</w:t>
      </w:r>
    </w:p>
    <w:p>
      <w:r>
        <w:rPr>
          <w:b/>
        </w:rPr>
        <w:t>E. 4</w:t>
      </w:r>
    </w:p>
    <w:p>
      <w:r>
        <w:t>Il en va de même des prétendues visites de la police et du CID à son domicile. L'intéressé aurait en effet reçu ces visites sur une longue période, sans qu'aucun élément concret ne suggère que sa vie en soit devenue insupportable. Comme l'a relevé le SEM, le recourant a déclaré ne jamais avoir eu de problème avec la police sri-lankaise et a expliqué que le CID venait simplement chez lui pour s'enquérir de sa présence et de celle de sa moto, précisant ne pas comprendre pourquoi cette autorité procédait de la sorte (cf. procès-verbal de l'audition sur les motifs d'asile, R124, 134 et 137). Rien n'indique par ailleurs que l'intéressé ait été sérieusement soupçonné de soutenir le groupe Aava. Il n'a d'ailleurs pas indiqué avoir été formellement entendu à ce sujet. Même si tel avait été le cas, il n'est pas établi qu'il n'aurait pas été en mesure de plaider valablement sa cause. On ne saurait en outre admettre que le recourant a encouru un quelconque risque de persécution en raison des recherches menées par le CID à l'encontre de son père. D'une part, rien n'indique que le recourant ait lui-même présenté le moindre intérêt pour le CID. D'autre part, si celui-ci avait réellement eu l'intention de s'en prendre au recourant à la place de son père, il aurait eu tout loisir de le faire depuis la disparition de ce dernier, qui remonterait à plusieurs années. Dans ces circonstances, on peut exclure que les visites des autorités au domicile de l'intéressé lui aient occasionné une pression psychique insupportable, le poussant à prendre le départ. Enfin, l'intéressé a indiqué avoir quitté son pays par la voie des airs, soit la plus surveillée, avec un passeport à son nom et muni d'une photographie qui lui « ressemblait » (cf. procès-verbal de l'audition sur les motifs d'asile, R51), ce qui confirme qu'il ne faisait alors lui-même l'objet d'aucune recherche.</w:t>
      </w:r>
    </w:p>
    <w:p>
      <w:r>
        <w:rPr>
          <w:b/>
        </w:rPr>
        <w:t>E. 5</w:t>
      </w:r>
    </w:p>
    <w:p>
      <w:r>
        <w:t>En outre, le recourant ne peut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8.4.6).</w:t>
      </w:r>
    </w:p>
    <w:p>
      <w:r>
        <w:rPr>
          <w:b/>
        </w:rPr>
        <w:t>E. 5.2</w:t>
      </w:r>
    </w:p>
    <w:p>
      <w:r>
        <w:t>En l'espèce, rien n'indique que l'intéressé soit inscrit sur l'une ou l'autre des listes précitées, ni, de manière plus générale, qu'il fasse l'objet d'une quelconque procédure ou de recherches au Sri Lanka. Comme dit, tel n'était assurément pas le cas au moment de son départ du pays en 2023. Rien ne suggère non plus qu'une procédure ait pu être ouverte ultérieurement contre lui, ce qu'il n'allègue d'ailleurs pas, déclarant ne pas savoir ce qui lui arriverait, vis-à-vis des autorités sri-lankaises, en cas de retour au pays (cf. procès-verbal de l'audition sur les motifs d'asile, R144). Rien n'indique encore que l'intéressé soit soupçonné par les autorités de son pays de vouloir raviver le conflit ethnique sri-lankais. L'intéressé n'a pas allégué avoir eu des liens avec les LTTE, ni avoir prêté allégeance à ce mouvement. Il n'y a ainsi pas à redouter qu'il se trouve dans le collimateur des autorités sri-lankaises pour une telle raison. Enfin, l'intéressé n'a pas allégué avoir eu des activités politique en exil en faveur de la cause tamoule.</w:t>
      </w:r>
    </w:p>
    <w:p>
      <w:r>
        <w:rPr>
          <w:b/>
        </w:rPr>
        <w:t>E. 5.3</w:t>
      </w:r>
    </w:p>
    <w:p>
      <w:r>
        <w:t>Pour le reste, il n'y a pas de facteurs faisant apparaître le recourant, aux yeux des autorités sri-lankaises, comme étant susceptible de menacer l'unité ou la sécurité de l'Etat. Son appartenance à l'ethnie tamoule, son lieu d'origine et son court séjour en Suisse représentent des facteurs de risque trop légers pour qu'ils soient suffisants, en eux-mêmes, à fonder une crainte objective de sérieux préjudices au sens de l'art. 3 LAsi, étant rappelé qu'il a quitté son pays sans difficultés, après les nombreux bouleversements politiques de ces dernières années.</w:t>
      </w:r>
    </w:p>
    <w:p>
      <w:r>
        <w:rPr>
          <w:b/>
        </w:rPr>
        <w:t>E. 6</w:t>
      </w:r>
    </w:p>
    <w:p>
      <w:r>
        <w:t>Sur le vu de ce qui précède, c'est à raison que le SEM a dénié au recourant la qualité de réfugié. Il est renoncé à ordonner l'enquête d'ambassade requise par celui-ci, une telle mesure d'instruction n'apparaissant pas de nature à intéresser la cause.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9.3</w:t>
      </w:r>
    </w:p>
    <w:p>
      <w:r>
        <w:t>S'agissant des autres engagements de la Suisse relevant du droit international et eu égard aux allégations du recourant relatives à sa qualité de victime de la traite humaine, il sied d'examiner particulièrement si l'art. 3 CEDH, qui interdit la torture, les peines ou traitements inhumains, ou l'art. 4 CEDH, qui interdit l'esclavage, la servitude et le travail forcé s'appliquent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3 à 5),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Il n'a notamment pas établi avoir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9.6</w:t>
      </w:r>
    </w:p>
    <w:p>
      <w:r>
        <w:t>Dans son recours, l'intéressé prétend encore avoir été victime de traite humaine.</w:t>
      </w:r>
    </w:p>
    <w:p>
      <w:r>
        <w:rPr>
          <w:b/>
        </w:rPr>
        <w:t>E. 9.6.1</w:t>
      </w:r>
    </w:p>
    <w:p>
      <w:r>
        <w:t>La traite d'êtres humains entre dans le champ d'application de l'art. 4 CEDH. Les Etats parties à la CEDH doivent mettre en place un système légal qui combat la traite d'êtres humains de manière efficace. Ainsi, la Convention du Conseil de l'Europe du 16 mai 2005 sur la lutte contre la traite des êtres humains (ConvTEH, RS 0.311.543)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 consid. 6.1, 6.2 et 7.5), puis non seulement de mener une enquête interne sur les faits survenant sur leur propre territoire, mais aussi de coopérer efficacement avec les autorités compétentes des autres Etats concernés (cf. arrêt du Tribunal E-3763/2018 du 27 avril 2020 consid. 9.3 et réf. cit., dont ATAF 2016/27 consid. 5.2.5). Il appartient notamment aux autorités chargées de l'examen d'une demande d'asile de se prononcer sur la vraisemblance des allégations de la personne qui demande protection lorsque celles-ci sont relatives au statut de victime de traite des êtres humains (cf. arrêt du Tribunal E-1999/2020 du 14 août 2020 consid. 7.5). Lorsqu'il y a des motifs raisonnables de penser qu'une personne est une victime de traite, celle-ci doit se voir accorder des mesures minimales d'assistance ainsi que le délai de rétablissement et de réflexion d'au moins 30 jours prévu par la ConvTEH. Les autorités doivent ainsi s'assurer que la personne en cause ne soit pas renvoyée du territoire suisse avant que les mesures visant à son identification comme victime d'une infraction pénale soient menées à terme. Lorsqu'une victime a été identifiée, des mesures doivent être prises pour la protéger efficacement, si le risque de nouveau recrutement ou de représailles est rendu vraisemblable, ainsi que pour protéger d'autres victimes potentielles (cf. arrêt du Tribunal E-6729/2016 du 10 avril 2017 consid. 7.4.1).</w:t>
      </w:r>
    </w:p>
    <w:p>
      <w:r>
        <w:rPr>
          <w:b/>
        </w:rPr>
        <w:t>E. 9.6.2</w:t>
      </w:r>
    </w:p>
    <w:p>
      <w:r>
        <w:t>En l'espèce, le recourant n'a pas allégué devant le SEM avoir été victime de traite humaine, ne faisant état de tels faits qu'au stade du recours. Il ne saurait dès lors reprocher à l'autorité intimée de ne pas lui avoir accordé de délai de rétablissement et de réflexion avant de procéder à son audition, étant précisé que sa représentation juridique, présente lors de son audition, ne s'y est pas opposée. Par ailleurs, et quoi qu'il en dise, ses allégations sur ce point apparaissent tardives, de sorte qu'elles sont sujettes à caution. De plus, elles se résument à une seule phrase du mémoire de recours (cf. p. 5 : « Pendant sa séquestration, le recourant a été victime d'acte inhumains et dégradants, violé, ... ») et ne sont en rien étayées, de sorte qu'elles n'apparaissent, pour ce motif également, pas vraisemblables. Il sied encore de relever que le recourant, auquel incombe le fardeau de la vraisemblance des obstacles à l'exécution du renvoi, ne saurait se contenter de déclarations si laconiques, d'autant moins au stade du recours, sous peine de violer son obligation de collaborer à la constatation des faits (art. 8 LAsi). Dans ces circonstances, le grief du recourant lié à une violation de l'art. 4 CEDH doit être rejeté.</w:t>
      </w:r>
    </w:p>
    <w:p>
      <w:r>
        <w:rPr>
          <w:b/>
        </w:rPr>
        <w:t>E. 9.7</w:t>
      </w:r>
    </w:p>
    <w:p>
      <w:r>
        <w:t>Dès lors, l'exécution du renvoi du recourant ne transgresse aucun engagement de la Suisse relevant du droit international, de sorte qu'elle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du recourant. A cet égard, le Tribunal relève que le recourant provient de C._______. Il est jeune, au bénéfice d'une expérience professionnelle et n'a pas allégué de problème de santé particulier, sinon de l'asthme, pour lequel il ne prendrait plus de traitement, et des douleurs aux articulations. Il n'a d'ailleurs déposé aucun document médical. Au demeurant, il dispose d'un réseau familial dans son pays, sur lequel il pourra compter à son retour.</w:t>
      </w:r>
    </w:p>
    <w:p>
      <w:r>
        <w:rPr>
          <w:b/>
        </w:rPr>
        <w:t>E. 10.4</w:t>
      </w:r>
    </w:p>
    <w:p>
      <w:r>
        <w:t>Pour ces motifs, l'exécution du renvoi doit être considérée comme raisonnablement exigible, ce qui n'est d'ailleurs pas expressément contesté.</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En conséquence, mal fondé, le recours est rejeté également en tant qu'il porte sur les questions du renvoi et de son exécution.</w:t>
      </w:r>
    </w:p>
    <w:p>
      <w:r>
        <w:rPr>
          <w:b/>
        </w:rPr>
        <w:t>E. 13</w:t>
      </w:r>
    </w:p>
    <w:p>
      <w:r>
        <w:t>La demande de dispense de l'avance des frais de procédure devient sans objet avec le présent arrêt.</w:t>
      </w:r>
    </w:p>
    <w:p>
      <w:r>
        <w:rPr>
          <w:b/>
        </w:rPr>
        <w:t>E. 14.1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14.2</w:t>
      </w:r>
    </w:p>
    <w:p>
      <w:r>
        <w:t>Les conclusions du recours ne paraissaient toutefois pas d'emblée vouées à l'échec et l'intéressé peut être tenu pour indigent, de sorte que la demande d'assistance judiciaire partielle doit être admise, les conditions posées à l'art. 65 al. 1 PA étant réunies. Il n'est dès lors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