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E-726/2023 vom 26. April 2023</w:t>
      </w:r>
    </w:p>
    <w:p>
      <w:r>
        <w:t>Bundesverwaltungsgericht, 2023-04-26, FR</w:t>
      </w:r>
    </w:p>
    <w:p>
      <w:r>
        <w:rPr>
          <w:b/>
        </w:rPr>
        <w:t xml:space="preserve">Quelle: </w:t>
      </w:r>
      <w:r>
        <w:t>https://mcp.opencaselaw.ch/entscheid/bvger_E-726_2023</w:t>
      </w:r>
    </w:p>
    <w:p>
      <w:r>
        <w:t>FR: TAF E-726/2023 du 26 avril 2023</w:t>
      </w:r>
    </w:p>
    <w:p>
      <w:r>
        <w:t>IT: TAF E-726/2023 del 26 aprile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déjà relevé, les investigations entreprises par le SEM ont révélé, après consultation de l'unité centrale du système européen « Eurodac », que le recourant a franchi illégalement la frontière du territoire des Etats Dublin en Croatie et que ses empreintes digitales y ont été enregistrées le 5 octobre 2022.</w:t>
      </w:r>
    </w:p>
    <w:p>
      <w:r>
        <w:rPr>
          <w:b/>
        </w:rPr>
        <w:t>E. 4.2</w:t>
      </w:r>
    </w:p>
    <w:p>
      <w:r>
        <w:t>Le 15 novembre 2022, l'autorité intimée a dès lors soumis aux autorités croates compétentes, dans les délais fixés à l'art. 21 par. 1 RD III, une requête aux fins de prise en charge, fondée sur l'art. 13 par. 1 de ce même règlement.</w:t>
      </w:r>
    </w:p>
    <w:p>
      <w:r>
        <w:rPr>
          <w:b/>
        </w:rPr>
        <w:t>E. 4.3</w:t>
      </w:r>
    </w:p>
    <w:p>
      <w:r>
        <w:t>Par communication du 13 janvier 2023, soit dans le délai fixé par l'art. 22 par. 1 RD III, lesdites autorités ont expressément accepté de prendre en charge l'intéressé, sur la base de l'art. 13 par. 1 RD III.</w:t>
      </w:r>
    </w:p>
    <w:p>
      <w:r>
        <w:rPr>
          <w:b/>
        </w:rPr>
        <w:t>E. 4.4</w:t>
      </w:r>
    </w:p>
    <w:p>
      <w:r>
        <w:t>La compétence de la Croatie pour le traitement de la demande d'asile du requérant est donc donnée, au regard des critères de détermination de l'Etat membre responsable (art. 7 ss RD III). Ce point n'est d'ailleurs pas contesté.</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5.5</w:t>
      </w:r>
    </w:p>
    <w:p>
      <w:r>
        <w:t>Par conséquent, l'application de l'art. 3 par. 2 du règlement Dublin III ne se justifie pas en l'espèce.</w:t>
      </w:r>
    </w:p>
    <w:p>
      <w:r>
        <w:rPr>
          <w:b/>
        </w:rPr>
        <w:t>E. 6.1</w:t>
      </w:r>
    </w:p>
    <w:p>
      <w:r>
        <w:t>Le recourant s'oppose néanmoins à son transfert vers la Croatie, déclarant notamment, comme relevé, y avoir été maltraité et battu par la police.</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En particulier, l'ordre de quitter le territoire croate reçu par l'intéressé paraît cohérent avec le fait que celui-ci (et/ou les personnes qui l'accompagnaient) avait indiqué à la police être « de passage » dans ce pays et avoir l'intention de déposer une demande d'asile (ailleurs) en Europe (cf. supra, let. C). On ne saurait en conclure que sa demande d'asile, après son dépôt, ne sera pas traitée dans ce pays de manière régulière, étant encore rappelé que les autorités croates ont expressément accepté de le prendre en charge. En outre, il ne ressort pas des captures d'écran jointes au recours que la représentante de l'OIM avec laquelle l'intéressé se serait entretenu lui aurait indiqué qu'il ne pouvait pas déposer une demande d'asile en Croatie, comme il le soutient. La personne en question lui a apparemment uniquement fait savoir qu'il n'y avait malheureusement (selon elle) aucune garantie que la police respecterait ses droits en matière d'asile (« Unfortunately, there is no guarantee police will respect your asylum rights »). En toute hypothèse, cet avis ne saurait remettre en cause la jurisprudence précitée du Tribunal relative à l'accès à la procédure d'asile en Croatie dans le cadre des procédures Dublin (cf. supra, consid. 5.4), après l'accord de prise en charge de l'intéressé par les autorités croates et compte tenu de son retour prévu directement à Zagreb (cf. consid. 6.4 ci-dessous).</w:t>
      </w:r>
    </w:p>
    <w:p>
      <w:r>
        <w:rPr>
          <w:b/>
        </w:rPr>
        <w:t>E. 6.4</w:t>
      </w:r>
    </w:p>
    <w:p>
      <w:r>
        <w:t>L'intéressé n'a pas non plus apporté d'indices selon lesquels 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seules déclarations non étayées du recourant ne suffisent pas à établir qu'il a subi de la part de la police croate des traitements contraires à l'art. 3 CEDH ou à l'art. 3 CCT. En particulier, le Tribunal relève qu'aucun élément médical ne suggère que l'intéressé aurait été « énormément frappé », ou, comme il l'allègue au stade du recours, qu'il présente de « grands traumatismes » suite aux événements survenus en Croatie. A cet égard, il sied de relever que l'intéressé n'a pas allégué de troubles psychiques en première instance et n'a pas requis les services d'un psychologue ou d'un psychiatre.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6.5.1</w:t>
      </w:r>
    </w:p>
    <w:p>
      <w:r>
        <w:t>Compte tenu de la jurisprudence restrictive en la matière, il y a lieu de considérer, à l'instar du SEM, que les affections présentées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outre, il n'est pas établi que l'intéressé ait consulté l'infirmerie du centre d'accueil pour ses problèmes aux intestins ou à l'estomac. En toute hypothèse, rien n'indique que son état nécessite une prise en charge urgente.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6.5.2</w:t>
      </w:r>
    </w:p>
    <w:p>
      <w:r>
        <w:t>Dès lors, il y a lieu de retenir que l'état de santé du recourant ne saurait faire obstacle à l'exécution de son transfert vers la Croatie.</w:t>
      </w:r>
    </w:p>
    <w:p>
      <w:r>
        <w:rPr>
          <w:b/>
        </w:rPr>
        <w:t>E. 6.5.3</w:t>
      </w:r>
    </w:p>
    <w:p>
      <w:r>
        <w:t>Cela dit, il incombera aux autorités suisses chargées de l'exécution du transfert de transmettre à leurs homologues croates, en temps utile, les renseignements permettant, si nécessaire, une prise en charge médicale adéquate du recourant (cf. art. 31 et 32 du règlement Dublin III).</w:t>
      </w:r>
    </w:p>
    <w:p>
      <w:r>
        <w:rPr>
          <w:b/>
        </w:rPr>
        <w:t>E. 6.6</w:t>
      </w:r>
    </w:p>
    <w:p>
      <w:r>
        <w:t>Par conséquent, le transfert du recourant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8.1</w:t>
      </w:r>
    </w:p>
    <w:p>
      <w:r>
        <w:t>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Celle-ci devrait être rejetée et les frais de procédure être mis à la charge de l'intéressé, dès lors que les conclusions du recours sont aujourd'hui dénuées de chances de succès et que les conditions cumulatives de l'art. 65 al. 1 PA ne sont ainsi plus réalisées, indépendamment de l'indigence du recourant (cf. art. 63 al. 1 PA et art. 2 et 3 let. a du règlement du 21 février 2008 concernant les frais, dépens et indemnités fixés par le Tribunal administratif fédéral (FITAF, RS 173.320.2).</w:t>
      </w:r>
    </w:p>
    <w:p>
      <w:r>
        <w:rPr>
          <w:b/>
        </w:rPr>
        <w:t>E. 8.2</w:t>
      </w:r>
    </w:p>
    <w:p>
      <w:r>
        <w:t>Compte tenu de la particularité du cas et du fait qu'au moment du dépôt du recours celui-ci n'était pas voué à l'échec, il est cependant renoncé à la perception des frais de procédure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