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E-7263/2013 vom 16. April 2014</w:t>
      </w:r>
    </w:p>
    <w:p>
      <w:r>
        <w:t>Bundesverwaltungsgericht, 2014-04-16, DE</w:t>
      </w:r>
    </w:p>
    <w:p>
      <w:r>
        <w:rPr>
          <w:b/>
        </w:rPr>
        <w:t xml:space="preserve">Quelle: </w:t>
      </w:r>
      <w:r>
        <w:t>https://mcp.opencaselaw.ch/entscheid/bvger_E-7263_2013</w:t>
      </w:r>
    </w:p>
    <w:p>
      <w:r>
        <w:t>FR: TAF E-7263/2013 du 16 avril 2014</w:t>
      </w:r>
    </w:p>
    <w:p>
      <w:r>
        <w:t>IT: TAF E-7263/2013 del 16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gelangt das Gericht zum Schluss, dass die Vorinstanz zu Recht und mit zutreffender Begründung sowohl die Glaubhaftigkeit als auch die asylrechtliche Relevanz der Vorbringen der Beschwer­deführerin verneint hat. Diese hatte zur Begründung ihres Asylgesuchs im Wesentlichen auf die allgemeine Bürgerkriegssituation in ihrem Heimatstaat verwiesen. Ihren Ausführungen lassen sich aber keine glaubhaften und konkreten Hinweise dafür entnehmen, dass sie vor der Ausreise gezielten Verfolgungsmassnahmen im Sinne von Art. 3 AsylG ausgesetzt war. Demnach besteht auch kein Grund zur Annahme, dass sie begründete Furcht hat, in Zukunft derartige Nachteile zu erleiden. Zur Vermeidung von Wiederholungen kann auf die zutreffenden Erwägungen in der angefochtenen Verfügung verwiesen werden. Die Ausführungen in der Beschwerdeeingabe sind nicht geeignet, diese Einschätzung in Frage zu stellen. Insbesondere kann aus der in keiner Weise substanziierten Behauptung, sie müsse damit rechnen, von den Rebellen umgebracht zu werden, nicht auf eine begründete Furcht der Beschwerdeführerin vor Verfolgung geschlossen werden.</w:t>
      </w:r>
    </w:p>
    <w:p>
      <w:r>
        <w:rPr>
          <w:b/>
        </w:rPr>
        <w:t>E. 4.2</w:t>
      </w:r>
    </w:p>
    <w:p>
      <w:r>
        <w:t>Zusammenfassend ist festzuhalten, dass es der Beschwerde­füh­rerin nicht gelungen ist, eine im Sinne von Art. 3 AsylG relevante Verfolgungsgefahr nachzu­weisen oder glaubhaft darzutun. Die Vorinstanz hat ihr Asylgesuch demzufolge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Beschwerdeführerinnen verfügen weder über eine ausländerrechtliche Aufenthaltsbewilligung noch über einen Anspruch auf Erteilung einer solchen. Die Wegweisung wurde demnach zu Recht angeordnet (Art. 44 AsylG; BVGE 2009/50 E. 9 m.w.H.).</w:t>
      </w:r>
    </w:p>
    <w:p>
      <w:r>
        <w:rPr>
          <w:b/>
        </w:rPr>
        <w:t>E. 5.3</w:t>
      </w:r>
    </w:p>
    <w:p>
      <w:r>
        <w:t>Die Behauptung, beim Vater der Tochter Kindes der Beschwerdeführerin handle es sich um einen in der Schweiz wohnhaften schweizerisch-französischen Doppelbürger (beziehungsweise französischen Staatsangehörigen) namens "G._______", wurde bisher nicht belegt. Das auf Beschwerdeebene eingereichte Formular betreffend Einleitung eines Verfahrens zur Vaterschaftsanerkennung wurde nur von der Beschwerdeführerin unterzeichnet und vermag daher die Vaterschaft von "G._______" nicht zu beweisen. Hinzu kommt, dass die Beschwerdeführerin anlässlich der Befragung zur Person vom 16. März 2011 unmissverständlich zu Protokoll gegeben hatte, ein schweizerisch-französischer Doppelbürger namens "E._______" sei der Vater ihres - damals noch ungeborenen - Kindes (vgl. Protokoll S. 6 und 7). Demnach liegen bei der derzeitigen Aktenlage keine stichhaltigen Hinweise dafür vor, dass das Kind der Beschwerdeführerin aus der Staatsangehörigkeit oder dem Aufenthaltsrecht des Kindsvaters einen Anspruch auf eine Aufenthaltsbewilligung in der Schweiz ableiten kann. Abschliessend kann darauf hingewiesen werden, dass auch der Einleitung einer Vaterschaftsklage aus dem Ausland grundsätzlich nichts im Wege stehen würde.</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6.2.3</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die Côte d'Ivoire ist demnach unter dem Aspekt von Art. 5 AsylG rechtmässig.</w:t>
      </w:r>
    </w:p>
    <w:p>
      <w:r>
        <w:rPr>
          <w:b/>
        </w:rPr>
        <w:t>E. 6.2.4</w:t>
      </w:r>
    </w:p>
    <w:p>
      <w:r>
        <w:t>Sodann ergeben sich weder aus den Aussagen der Beschwerdeführe­rinnen noch aus den Akten Anhaltspunkte dafür, dass sie für den Fall einer Ausschaffung in die Côte d'Ivoire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der Côte d'Ivoire lässt den Wegweisungsvollzug zum heutigen Zeitpunkt nicht als unzulässig erscheinen. Nach dem oben Gesagten (vgl. E. 5.3) können die Beschwerdeführerinnen auch aus Art. 8 EMRK - respektive des darin verankerten Rechts auf Achtung des Familienlebens - nichts zu ihren Gunsten ableiten.</w:t>
      </w:r>
    </w:p>
    <w:p>
      <w:r>
        <w:rPr>
          <w:b/>
        </w:rPr>
        <w:t>E. 6.2.5</w:t>
      </w:r>
    </w:p>
    <w:p>
      <w:r>
        <w:t>Der Vollzug der Wegweisung erweist sich damit sowohl im Sinne der asyl- als auch der völkerrechtlichen Bestimmungen als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In Bezug auf die gegenwärtige Menschenrechtslage in der Côte d'Ivoire ist vorweg auf die vom Bundesverwaltungsgericht vorgenommene Lageeinschätzung im publizierten Urteil vom 24. November 2009 zu verweisen: Das Gericht hält darin fest, dass im Rahmen des Ab­kommens von Ouagadougou vom März 2007 die politische Lage deutlich habe stabilisiert werden können und eine positive Entwicklung der allgemeinen Sicherheits- und Menschenrechtslage festzustellen sei (vgl. BVGE 2009/41 E. 7.3.2 ff.). Weiter wurde im erwähnten Entscheid festgehalten, dass eine Rückkehr von Personen in den Norden und in den Westen des Landes aufgrund der dort zurzeit herrschenden un­genügenden Sicherheitslage nicht zumutbar sei. Bei Personen, die aus dem Westen oder dem Norden des Landes stammen, könne jedoch grundsätzlich eine interne Aufenthalts­alternative im Süden und Osten des Landes, insbesondere in den grossen Städten, in erster Linie nach Abidjan, bejaht werden, wobei jedoch eine individuelle Prüfung ihrer Situation (Gesundheitszustand, Berufsausbildung, Beziehungsnetz, Möglichkeit der Reintegration) zu erfolgen habe (vgl. a.a.O. E. 7.10 f.). Diese Einschätzung trifft grundsätzlich im heutigen Zeitpunkt nach wie vor zu (vgl. Urteil des Bundesverwaltungsgerichts E-6051/2013 vom 27. November 2013, mit weiteren Hinweisen).</w:t>
      </w:r>
    </w:p>
    <w:p>
      <w:r>
        <w:rPr>
          <w:b/>
        </w:rPr>
        <w:t>E. 6.3.3</w:t>
      </w:r>
    </w:p>
    <w:p>
      <w:r>
        <w:t>Die Beschwerdeführerin - eine (...)-jährige Frau, die keine gesundheitlichen Probleme geltend macht - ist gemäss ihren Angaben bei einer Adoptivmutter in Bouaké aufgewachsen und lebte von 2003 bis zu ihrer Ausreise im Jahre 2010 in verschiedenen Quartieren Abidjans, wo sie als selbständige (...) und Händlerin von (...) tätig war. Neben ihrem in der Schweiz geborenen, nunmehr (...)-jährigen Kind hat sie einen im Jahre (...) geborenen Sohn, welcher bei seinen Grosseltern väterlicherseits in J._______, Abidjan, lebt (vgl. A5 S. 3). Praxisgemäss ist eine Rückkehr an ihren früheren Wohnort Abidjan nicht als grundsätzlich unzumutbar zu erachten. Angesichts ihrer beruflichen Qualifikation und Erfahrung wird die Beschwerdeführerin in der Lage sein, dort eine wirtschaftliche Existenz für sich und ihre Kinder aufzubauen. Gegebenenfalls hat sie auch die Möglichkeit, in ihrem Heimatstaat einen Mikrokredit zu beantragen oder eine der Organisationen zur Unterstützung der Frauen in Abidjan um Hilfe zu ersuchen (vgl. BVGE 2009/41 E. 7.12 S. 587f.). Aufgrund der Aktenlage kann ferner davon ausgegangen werden, dass sie in Abidjan über ein tragfähiges Beziehungsnetz verfügt. Aus ihren Ausführungen ergibt sich, dass sie nach dem Umzug nach Abidjan im Jahre 2003 zumindest zeitweise bei verschiedenen Bekannten lebte (vgl. A22 S. 11 f.). Zudem dürfte sie auch auf Unterstützung durch die Grosseltern väterlicherseits ihres älteren Kindes, welche dieses derzeit betreuen, zählen können.</w:t>
      </w:r>
    </w:p>
    <w:p>
      <w:r>
        <w:rPr>
          <w:b/>
        </w:rPr>
        <w:t>E. 6.3.4</w:t>
      </w:r>
    </w:p>
    <w:p>
      <w:r>
        <w:t>Schliesslich ist darauf hinzuweisen, dass die Beschwerdeführerinnen individuelle Rückkehrhilfe beantragen können (Art. 93 Abs. 1 Bst. d AsylG und Art. 73 ff. der Asylverordnung 2 vom 11. August 1999 [AsylV 2, SR 142.312]).</w:t>
      </w:r>
    </w:p>
    <w:p>
      <w:r>
        <w:rPr>
          <w:b/>
        </w:rPr>
        <w:t>E. 6.3.5</w:t>
      </w:r>
    </w:p>
    <w:p>
      <w:r>
        <w:t>Unter diesen Umständen besteht kein Grund zur Annahme, dass die Beschwerdeführerin und ihr Kind im Falle der Rückkehr in ihren Heimatstaat in eine existenzielle Notlage geraten werden. Der Vollzug der Wegweisung erweist sich damit auch als zumutbar.</w:t>
      </w:r>
    </w:p>
    <w:p>
      <w:r>
        <w:rPr>
          <w:b/>
        </w:rPr>
        <w:t>E. 6.4</w:t>
      </w:r>
    </w:p>
    <w:p>
      <w:r>
        <w:t>Schliesslich obliegt es den Beschwerdeführerinnen,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den Beschwerde­führerinnen aufzuerlegen (Art. 63 Abs. 1 VwVG). Da indessen mit Zwischenverfügung des Bundesverwaltungsgerichts vom 8. Januar 2014 das Gesuch um Gewährung der unentgeltlichen Prozessführung gemäss Art. 65 Abs. 1 VwVG unter Vorbehalt der Nachreichung einer Fürsorgebestätigung gutgeheissen wurde, die Beschwerdeführerinnen innert Frist eine Bestätigung ihrer Fürsorgeabhängigkeit zu den Akten reichten und keine Anhaltspunkte dafür bestehen, dass sich ihre finanzielle Lage seither entscheidrelevant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