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E-7260/2014 vom 4. März 2015</w:t>
      </w:r>
    </w:p>
    <w:p>
      <w:r>
        <w:t>Bundesverwaltungsgericht, 2015-03-04, DE</w:t>
      </w:r>
    </w:p>
    <w:p>
      <w:r>
        <w:rPr>
          <w:b/>
        </w:rPr>
        <w:t xml:space="preserve">Quelle: </w:t>
      </w:r>
      <w:r>
        <w:t>https://mcp.opencaselaw.ch/entscheid/bvger_E-7260_2014</w:t>
      </w:r>
    </w:p>
    <w:p>
      <w:r>
        <w:t>FR: TAF E-7260/2014 du 4 mars 2015</w:t>
      </w:r>
    </w:p>
    <w:p>
      <w:r>
        <w:t>IT: TAF E-7260/2014 del 4 marzo 2015</w:t>
      </w:r>
    </w:p>
    <w:p>
      <w:pPr>
        <w:pStyle w:val="Heading2"/>
      </w:pPr>
      <w:r>
        <w:t>Regeste</w:t>
      </w:r>
    </w:p>
    <w:p>
      <w:r>
        <w:t>Nichteintreten auf Asylgesuch und Wegweisung (Dublin-Verfahren)</w:t>
      </w:r>
    </w:p>
    <w:p>
      <w:pPr>
        <w:pStyle w:val="Heading2"/>
      </w:pPr>
      <w:r>
        <w:t>Erwägungen</w:t>
      </w:r>
    </w:p>
    <w:p>
      <w:r>
        <w:rPr>
          <w:b/>
        </w:rPr>
        <w:t>E. 1</w:t>
      </w:r>
    </w:p>
    <w:p>
      <w:r>
        <w:t>Gemäss Art. 31 VGG beurteilt das Bundesverwaltungsgericht Beschwerden gegen Verfügungen nach Art. 5 VwVG und entscheidet auf dem Gebiet des Asyls in der Regel - und so auch vorliegend - endgültig (Art. 105 AsylG; Art. 83 Bst. d Ziff. 1 BGG). Als Verfügungsadressaten sind die Beschwerdeführer zur Beschwerdeerhebung legitimiert. Auf die frist- und formgerecht eingereichte Beschwerde ist einzutreten (Art. 105 und 108 Abs. 2 AsylG; Art. 48 Abs. 1 sowie Art. 52 VwVG).</w:t>
      </w:r>
    </w:p>
    <w:p>
      <w:r>
        <w:rPr>
          <w:b/>
        </w:rPr>
        <w:t>E. 2</w:t>
      </w:r>
    </w:p>
    <w:p>
      <w:r>
        <w:t>Mit Beschwerde können die Verletzung von Bundesrecht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w:t>
      </w:r>
    </w:p>
    <w:p>
      <w:r>
        <w:rPr>
          <w:b/>
        </w:rPr>
        <w:t>E. 3.5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Aus landesrechtlichen Normen wie etwa Art. 29a Abs. 3 der Asylverordnung 1 vom 11. August 1999 (AsylV 1, SR 142.311) lässt sich gegebenenfalls ein Anspruch auf Selbsteintritt ableiten - etwa aus humanitären Gründen (vgl. BVGE 2010/45 E. 5).</w:t>
      </w:r>
    </w:p>
    <w:p>
      <w:r>
        <w:rPr>
          <w:b/>
        </w:rPr>
        <w:t>E. 3.6</w:t>
      </w:r>
    </w:p>
    <w:p>
      <w:r>
        <w:t>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Ein Abgleich der Fingerabdrücke der Beschwerdeführer mit der «Eurodac»-Datenbank ergab, dass diese am 13. Mai 2014 in Ungarn Asylgesuche eingereicht hatten. Die ungarischen Behörden stimmten dem Gesuch des BFM um Wiederaufnahme am 14. Oktober 2014 zu. Die Zuständigkeit Ungarns steht aufgrund der Akten fest und bleibt unbestritten.</w:t>
      </w:r>
    </w:p>
    <w:p>
      <w:r>
        <w:rPr>
          <w:b/>
        </w:rPr>
        <w:t>E. 4.2</w:t>
      </w:r>
    </w:p>
    <w:p>
      <w:r>
        <w:t>Wesentliche Gründe Im Sinne von Art. 3 Abs. 2 Dublin-III-VO für die Annahme, das Asylverfahren und die Aufnahmebedingungen für Asylsuchende in Ungarn wiesen systemische Schwachstellen auf, die eine Gefahr einer unmenschlichen oder entwürdigenden Behandlung im Sinne des Artikels 4 der EU-Grundrechtecharta mit sich bringen würden bestehen nicht (vgl. Urteil des Bundesverwaltungsgerichts E-2093/2012 vom 9. Oktober 2013 E. 5-10).</w:t>
      </w:r>
    </w:p>
    <w:p>
      <w:r>
        <w:rPr>
          <w:b/>
        </w:rPr>
        <w:t>E. 4.3</w:t>
      </w:r>
    </w:p>
    <w:p>
      <w:r>
        <w:t>Die Beschwerdeführer bringen vor, in Ungarn bestehe die Gefahr, dass sie nicht zufriedenstellend untergebracht, insbesondere dass sie inhaftiert würden; ausserdem hätten sie dort keinen Zugang zu medizinischer Versorgung erhalten und seien sie als gesundheitlich angeschlagene Mutter und ihr geistig behinderter Sohn auf die Unterstützung ihres in der Schweiz befindlichen volljährigen Sohns respektive Bruders und dessen Familie angewiesen. Damit fordern sie die Anwendung der Ermessensklausel von Art. 17 Abs. 1 Dublin-III-VO und den Selbsteintritt der Schweiz auf die Asylgesuche ein.</w:t>
      </w:r>
    </w:p>
    <w:p>
      <w:r>
        <w:rPr>
          <w:b/>
        </w:rPr>
        <w:t>E. 4.4</w:t>
      </w:r>
    </w:p>
    <w:p>
      <w:r>
        <w:t>Gemäss Urteil des Bundesverwaltungsgerichts E-2093/2012 vom 9. Oktober 2013 E. 9 ff. kann die Vermutung, dass Ungarn seine völkerrechtlichen Verpflichtungen einhält, nicht mehr vorbehaltlos aufrechterhalten werden, und es muss von Amtes wegen im Einzelfall geprüft werden, ob eine Überstellung dorthin zulässig ist, wobei der Zurechenbarkeit der Beschwerdeführer zu einer verletzlichen Personengruppe Rechnung zu tragen ist. Zur Gruppe verletzlicher Personen mit besonders ausgeprägten Betreuungsbedürfnissen zählt das Bundesverwaltungsgericht namentlich Personen mit körperlichen Behinderungen oder ernsthaften gesundheitlichen Problemen; ebenso Familien mit Kindern, unbegleitete Minderjährige oder Schwangere (BVGE 2012/27 E. 7.3.1).</w:t>
      </w:r>
    </w:p>
    <w:p>
      <w:r>
        <w:rPr>
          <w:b/>
        </w:rPr>
        <w:t>E. 4.5</w:t>
      </w:r>
    </w:p>
    <w:p>
      <w:r>
        <w:t>Die Beschwerdeführer stellen als alleinstehende psychisch angeschlagene Mutter mit einem geistig behinderten minderjährigem Kind besonders verletzliche Personen dar. Aufgrund der psychischen Behinderung des Kindes besteht, auch wenn es körperlich gesund ist, bei ihm ein erhöhter Betreuungsbedarf. Auch wenn es sich bei den gesundheitlichen Problemen der Mutter vom rein medizinischen Standpunkt her um eine blosse Bagatelle handelt (vgl. den medizinischen Bericht vom 18. Juni 2014), muss ihr Zustand als weitere Erschwerung ihrer Lage respektive der Lage ihres Sohnes verstanden werden. In Anbetracht dieser Umstände ist die Anwendung der humanitären Klausel von Art. 29a Abs. 3 AsylV 1 in Erwägung zu ziehen. Zu prüfen ist dabei namentlich die Frage, ob die Beschwerdeführer in Ungarn adäquate Betreuungsverhältnisse vorfinden dürften. Bezüglich dieser Frage hat die Vorinstanz eine besondere Begründungspflicht. Dieser Pflicht vermögen ihre sehr allgemeinen Ausführungen nicht zu genügen. Sie setzt sich mit der konkreten Situation der Beschwerdeführer nicht hinreichend auseinander, wodurch die aus Art. 29 VwVG fliessende Begründungspflicht verletzt ist.</w:t>
      </w:r>
    </w:p>
    <w:p>
      <w:r>
        <w:rPr>
          <w:b/>
        </w:rPr>
        <w:t>E. 4.5.1</w:t>
      </w:r>
    </w:p>
    <w:p>
      <w:r>
        <w:t>Die Beschwerde ist somit gutzuheissen, die angefochtene Verfügung aufzuheben und die Sache zur neuen Entscheidung im Sinne der Erwägungen an die Vorinstanz zurückzuweisen.</w:t>
      </w:r>
    </w:p>
    <w:p>
      <w:r>
        <w:rPr>
          <w:b/>
        </w:rPr>
        <w:t>E. 5</w:t>
      </w:r>
    </w:p>
    <w:p>
      <w:r>
        <w:t>Bei diesem Ausgang des Verfahrens sind keine Kosten zu erheben (Art. 63 Abs. 1 und 2 VwVG). Den obsiegenden Beschwerdeführern ist in Anwendung von Art. 64 Abs. 1 VwVG und Art. 8 des Reglements vom 21. Februar 2008 über die Kosten und Entschädigungen vor dem Bundesverwaltungsgericht (VGKE, SR 173.320.2) eine Entschädigung für die notwendigerweise erwachsenen Parteikosten zuzusprechen. Die Rechtsvertreterin hat keine Kostennote eingereicht. Eine solche ist nicht nachzufordern; vielmehr ist der notwendige und verhältnismässige Parteiaufwand vom Gericht einzuschätzen und in Beachtung der Bemessungsgrundlage auf Fr. 1000.- (einschliesslich aller Auslagen und der Mehrwertsteuer) festzusetzen. Die Vorinstanz ist nach Art. 64 Abs. 2 VwVG anzuweisen, den Beschwerdeführern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