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E-7247/2013 vom 13. Januar 2014</w:t>
      </w:r>
    </w:p>
    <w:p>
      <w:r>
        <w:t>Bundesverwaltungsgericht, 2014-01-13, FR</w:t>
      </w:r>
    </w:p>
    <w:p>
      <w:r>
        <w:rPr>
          <w:b/>
        </w:rPr>
        <w:t xml:space="preserve">Quelle: </w:t>
      </w:r>
      <w:r>
        <w:t>https://mcp.opencaselaw.ch/entscheid/bvger_E-7247_2013</w:t>
      </w:r>
    </w:p>
    <w:p>
      <w:r>
        <w:t>FR: TAF E-7247/2013 du 13 janvier 2014</w:t>
      </w:r>
    </w:p>
    <w:p>
      <w:r>
        <w:t>IT: TAF E-7247/2013 del 13 gennaio 2014</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art. 108 al. 1 LAsi).</w:t>
      </w:r>
    </w:p>
    <w:p>
      <w:r>
        <w:rPr>
          <w:b/>
        </w:rPr>
        <w:t>E. 2</w:t>
      </w:r>
    </w:p>
    <w:p>
      <w:r>
        <w:t>L'intéressée n'a pas contesté les chiffres 1 et 2 de la décision de l'ODM qui lui dénie la qualité de réfugié et rejette sa demande d'asile, de sorte que, sous cet angle, celle-ci a acquis force de chose décidée. Reste en conséquence à examiner si l'ODM a, à juste titre, ordonné l'exécution du renvoi de l'intéressée dans son pays d'origine (art. 44 al. 1 LAsi).</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l'espèce, l'exécution du renvoi ne contrevient pas au principe de non-refoulement de l'art. 5 LAsi. En effet, la recourante n'a pas rendu vraisemblable qu'en cas de retour dans son pays d'origine, elle serait exposé à de sérieux préjudices au sens de l'art. 3 LAsi.</w:t>
      </w:r>
    </w:p>
    <w:p>
      <w:r>
        <w:rPr>
          <w:b/>
        </w:rPr>
        <w:t>E. 5.2</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5.2.1</w:t>
      </w:r>
    </w:p>
    <w:p>
      <w:r>
        <w:t>En l'occurrence, le Tribunal relève que la recourante n'a pas démontré l'existence d'un risque réel, fondé sur des motifs sérieux et avérés, d'être exposée à de tels traitement en cas de retour au République démocratique du Congo.</w:t>
      </w:r>
    </w:p>
    <w:p>
      <w:r>
        <w:rPr>
          <w:b/>
        </w:rPr>
        <w:t>E. 5.2.2</w:t>
      </w:r>
    </w:p>
    <w:p>
      <w:r>
        <w:t>Dès lors, l'exécution du renvoi de la recourante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S'agissant du cas d'espèce, la République démocratique du Congo en dépit des tensions prévalant notamment dans l'est du pays, ne connaît pas actuellement une situation de guerre, de guerre civile ou de violence généralisée sur l'ensemble de son territoire qui permettrait de présumer, à propos de tous les requérants qui en proviennent, et indépendamment des circonstances de chaque cause, l'existence d'une mise en danger concrète au regard de la jurisprudence susmentionnée.</w:t>
      </w:r>
    </w:p>
    <w:p>
      <w:r>
        <w:rPr>
          <w:b/>
        </w:rPr>
        <w:t>E. 6.3</w:t>
      </w:r>
    </w:p>
    <w:p>
      <w:r>
        <w:t>Reste à examiner si, comme le prétend l'intéressée, son retour en République démocratique du Congo équivaudrait à porter atteinte au principe de l'intérêt supérieur de l'enfant, principe que l'autorité doit prendre en considération lorsqu'elle statue sur l'exigibilité du renvoi des requérants d'asile mineurs.</w:t>
      </w:r>
    </w:p>
    <w:p>
      <w:r>
        <w:rPr>
          <w:b/>
        </w:rPr>
        <w:t>E. 6.4</w:t>
      </w:r>
    </w:p>
    <w:p>
      <w:r>
        <w:t>Sur ce point, le Tribunal rappelle que le principe de l'intérêt supérieur de l'enfant, tel qu'il découle de l'art. 3 al. 1 de la convention relative aux droits de l'enfant du 20 novembre 1989 (CDE, RS 0.107), ne fonde pas en soi un droit à une autorisation de séjour, respectivement à une admission provisoire déductible en justice (cf. notamment Arrêts du Tribunal fédéral [ATF] 126 II 377, ATF 124 II 361). L'intérêt supérieur de l'enfant représente certes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w:t>
      </w:r>
    </w:p>
    <w:p>
      <w:r>
        <w:rPr>
          <w:b/>
        </w:rPr>
        <w:t>E. 6.5</w:t>
      </w:r>
    </w:p>
    <w:p>
      <w:r>
        <w:t>D'entrée de cause, il convient de souligner que la requérante, âgée de huit ans, est venue en Suisse dans l'unique but de retrouver sa mère et qu'elle n'a quitté son pays d'origine que depuis cinq mois. Il s'agit en conséquence d'une enfant qui, dès son arrivée en Suisse, a pu être pris en charge par un parent proche (sa mère) et pour qui la question de l'intégration en Suisse ne se pose pas. En conséquence, on ne saurait considérer que l'intérêt supérieur de l'enfant puisse constituer un facteur entrant en jeu dans le cas d'espèce.</w:t>
      </w:r>
    </w:p>
    <w:p>
      <w:r>
        <w:rPr>
          <w:b/>
        </w:rPr>
        <w:t>E. 6.6</w:t>
      </w:r>
    </w:p>
    <w:p>
      <w:r>
        <w:t>Certes, l'intéressée reproche à l'ODM d'avoir omis de prendre en considération l'état de santé de sa mère. Elle s'appuie en cela sur le certificat médical du 12 novembre 2013, envoyé à l'office par le médecin traitant de cette dernière et prétend que malade, elle n'est pas en mesure de s'occuper de sa fille.</w:t>
      </w:r>
    </w:p>
    <w:p>
      <w:r>
        <w:rPr>
          <w:b/>
        </w:rPr>
        <w:t>E. 6.6.1</w:t>
      </w:r>
    </w:p>
    <w:p>
      <w:r>
        <w:t>Sur ce point, il convient de relever que la question de l'état de santé de la mère a été examinée dans l'arrêt du 20 août 2013, clôturant la procédure d'asile engagée par cette dernière. Le Tribunal y a relevé que celle-ci souffrait de problèmes d'ordre psychologiques (état de stress post-traumatique) mais que ceux-ci ne nécessitaient pas de soins spécifiques, si bien qu'elle pouvait poursuivre, en RDC, le traitement ambulatoire entamé en Suisse. Sans sous-estimer la gravité de la maladie de la mère, le Tribunal a toutefois constaté que l'état de santé de celle-ci ne constituait pas un obstacle à l'exécution de son renvoi.</w:t>
      </w:r>
    </w:p>
    <w:p>
      <w:r>
        <w:rPr>
          <w:b/>
        </w:rPr>
        <w:t>E. 6.6.2</w:t>
      </w:r>
    </w:p>
    <w:p>
      <w:r>
        <w:t>A la lumière de ce qui précède, s'agissant précisément de la question de savoir si la mère est capable de prendre correctement soin de sa fille, le Tribunal constate que l'enfant vit auprès de sa mère en Suisse depuis cinq mois sans qu'une difficulté quelconque quant à sa prise en charge ait été signalée durant cette période. Il convient par ailleurs de souligner que malgré ses problèmes de santé, la mère de la recourante a été en mesure de trouver un emploi en Suisse, dans une crèche à Zurich, et de subvenir ainsi en partie à ses besoins. En conséquence, aucun élément du dossier ne permet de douter au fait qu'elle soit capable de prendre soin de sa fille de manière adéquate. A cela s'ajoute, comme le Tribunal l'a déjà mentionné dans l'arrêt précité, que la mère de l'intéressée bénéficie d'une formation supérieure et dispose en RDC d'un réseau familial et social développé, ce qui ne pourra que favoriser sa réinstallation et celle de sa fille.</w:t>
      </w:r>
    </w:p>
    <w:p>
      <w:r>
        <w:rPr>
          <w:b/>
        </w:rPr>
        <w:t>E. 6.6.3</w:t>
      </w:r>
    </w:p>
    <w:p>
      <w:r>
        <w:t>Quant au reproche fait à l'ODM d'avoir omis de prendre en considération le certificat médical précité, il convient d'observer qu'il ne s'agit pas d'un élément pertinent pour la solutions du cas d'espèce, dans la mesure où l'état de santé de la mère de l'intéressée était connu des autorités suisses, comme en témoigne l'arrêt du Tribunal précité, le certificat médical du 12 novembre 2013 ne faisant que confirmer un diagnostic déjà posé.</w:t>
      </w:r>
    </w:p>
    <w:p>
      <w:r>
        <w:rPr>
          <w:b/>
        </w:rPr>
        <w:t>E. 6.7</w:t>
      </w:r>
    </w:p>
    <w:p>
      <w:r>
        <w:t>L'intéressée se plaint enfin des mauvaises conditions de vie en RDC. Sur ce point, le Tribunal rappelle toutefois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JICRA 2005 n° 24 consid. 10.1 p. 215, JICRA n° 24 consid. 5e p. 159). Au besoin, la recourante dispose de la possibilité de présenter à l'ODM une demande d'aide au retour au sens des art. 93 LAsi et 73ss de l'ordonnance 2 du 11 août 1999 sur l'asile relative au financement (AO 2, RS 142.312), en vue notamment de faciliter son retour.</w:t>
      </w:r>
    </w:p>
    <w:p>
      <w:r>
        <w:rPr>
          <w:b/>
        </w:rPr>
        <w:t>E. 6.8</w:t>
      </w:r>
    </w:p>
    <w:p>
      <w:r>
        <w:t>En définitive, et après pesée de tous les éléments du cas d'espèce, l'exécution du renvoi de la recourante s'avère raisonnablement exigible.</w:t>
      </w:r>
    </w:p>
    <w:p>
      <w:r>
        <w:rPr>
          <w:b/>
        </w:rPr>
        <w:t>E. 7</w:t>
      </w:r>
    </w:p>
    <w:p>
      <w:r>
        <w:t>Enfin, la recourante, par le truchement de son représentant légal - sa mère, en l'occurrence -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rejeté.</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compte tenu des circonstances particulières du cas d'espèce, il se justifie de renoncer à titre exceptionnel à la perception des frais de procédure (cf. art. 63 al. 1 i.f.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