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E-7233/2016 vom 9. Dezember 2016</w:t>
      </w:r>
    </w:p>
    <w:p>
      <w:r>
        <w:t>Bundesverwaltungsgericht, 2016-12-09, DE</w:t>
      </w:r>
    </w:p>
    <w:p>
      <w:r>
        <w:rPr>
          <w:b/>
        </w:rPr>
        <w:t xml:space="preserve">Quelle: </w:t>
      </w:r>
      <w:r>
        <w:t>https://mcp.opencaselaw.ch/entscheid/bvger_E-7233_2016</w:t>
      </w:r>
    </w:p>
    <w:p>
      <w:r>
        <w:t>FR: TAF E-7233/2016 du 9 décembre 2016</w:t>
      </w:r>
    </w:p>
    <w:p>
      <w:r>
        <w:t>IT: TAF E-7233/2016 del 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oder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einerseits mit der fehlenden Asylrelevanz der geltend gemachten Haft (vgl. E. 5.2) und andererseits mit der Unglaubhaftigkeit der Vorbringen des Beschwerdeführers betreffend seiner "Sündenbockrolle" für die illegalen (...) des D._______ (vgl. E. 5.3).</w:t>
      </w:r>
    </w:p>
    <w:p>
      <w:r>
        <w:rPr>
          <w:b/>
        </w:rPr>
        <w:t>E. 5.2</w:t>
      </w:r>
    </w:p>
    <w:p>
      <w:r>
        <w:t>Gemäss seinen Aussagen in der BzP sei er in seiner Heimat nicht wegen seiner Rasse, Religion, Nationalität, Zugehörigkeit zu einer bestimmten sozialen Gruppe oder wegen seiner politischen Anschauungen verfolgt worden. Die in der BzP geschilderten Umstände einer befristeten Haft zusammen mit weiteren Kollegen würden für ein grundsätzlich rechtstaatlich zulässiges Ermittlungsverfahren in einem beachtlichen Fall von Veruntreuung (...) Güter sprechen. Die staatlichen Sicherheits- und Rechtsschutzinteressen würden dabei temporäre Zwangsmassnahmen gegenüber in Verdacht geratenen Personen rechtfertigen. Diesbezüglich erscheine seine Flucht ins Ausland als vorschnell und ohne Not in die Wege geleitet, zumal er seine zur Verfügung stehenden juristischen Mittel weder zur eigenen Verteidigung noch zur Beanstandung der geltend gemachten Misshandlung angerufen habe. Das Vorbringen der Haft sei für sich genommen daher nicht asylbeachtlich.</w:t>
      </w:r>
    </w:p>
    <w:p>
      <w:r>
        <w:rPr>
          <w:b/>
        </w:rPr>
        <w:t>E. 5.3</w:t>
      </w:r>
    </w:p>
    <w:p>
      <w:r>
        <w:t>Weiter seien die Angaben des Beschwerdeführers zur Absicht der Behörden und des D._______, ihn für die illegalen (...) des D._______ verantwortlich zu machen, nicht glaubhaft. So falle zunächst auf, dass er seine Beziehung zu D._______ nicht nachvollziehbar zu beschreiben vermocht habe. Zum einen verweise er wiederholt auf das grosse Vertrauensverhältnis zwischen seiner Familie und D._______ hin (A11/20, S. 9, F62 und F64; S. 10, F66). D._______ habe sich sogar für die Freilassung seines Vaters eingesetzt, nachdem er das Land bereits verlassen habe (A11/20, S. 16, F111). Gleichzeitig solle dieser ihn zusammen mit den Behörden zum "Sündenbock" gemacht haben und wäre somit für die geltend gemachte Verfolgung verantwortlich (A11/20, S. 12, F87). Zusätzlich habe er auch seine eigene Haltung gegenüber D._______ nicht deutlich zu machen vermocht. In der BzP habe er angegeben, dass er diesen den Behörden als verantwortliche Person hinter den (...) angegeben habe (A4/10, S. 6). In der Anhörung habe er seine Verhaftung zunächst so beschrieben, dass er erst Probleme bekommen habe, weil er D._______ nicht habe belasten wollen. Später in der Anhörung habe er sodann uneinheitliche Angaben gemacht zur Frage, ob er D._______ belastet habe und sich diesbezüglich nicht auf eine klare Aussage festgelegt (A11/20, S. 14, F93-97). Darüber hinaus habe er auch keine nachvollziehbare Erklärung geliefert, aus welchem Grund ausgerechnet er als "Sündenbock" in Frage gekommen sei. Seine diesbezüglichen Aussagen zu den Verhältnissen im Nordirak würden allgemein und ohne konkreten Bezug auf den vorliegenden Einzelfall erscheinen (A11/20, S. 9, F62; S. 10, F68; S. 12, F85). Dass er sich aufgrund fehlender Beziehungen nicht habe verteidigen können, stehe wiederum im Widerspruch zur Aussage, dass er und seine Familie zu D._______ ein besonderes Verhältnis gepflegt und somit durchaus über Beziehungen verfügt hätten. Insbesondere könne er keine nachvollziehbare Erklärung bieten, weshalb er als angeblich nicht registrierter, einfacher (...) für (...) an der Front verantwortlich gemacht werden sollte. Seine diesbezügliche Antwort wirke ausweichend und trage wenig zum Verständnis des vorliegenden Falles bei (A11/20, S. 13, F92). Schliesslich habe er bezüglich der Umstände seiner Freilassung uneinheitliche Angaben gemacht habe. So habe er in der BzP zu Protokoll gegeben, man habe ihn unter der Bedingung freigelassen, dass er sich melden müsse, wenn man ihn für eine Einvernahme benötige (A4/10, S. 6). In der Anhörung habe er hingegen angegeben, dass man ihm "auferlegt" habe, sich nach einer Woche wieder zu melden (A11/20, S. 6, F40). Auf direkte Nachfrage gegen Ende der Anhörung hin, habe er wiederum angefügt, dass er sich bei Bedarf wieder habe melden müssen (A11/20, S. 15, F105). Diese Uneinheitlichkeit seiner Aussagen würde den Eindruck vermitteln, er habe mit seinen Aussagen in der Anhörung die anlässlich der BzP gemachten Vorbringen intensivieren wollen, um damit bessere Chancen auf Asyl zu erhalten. Dafür spreche auch, dass er in der BzP nicht erwähnt habe, dass er persönlich für die (...) hätte verantwortlich gemacht werden sollen. Seine dort gemachten Aussagen würden sich nämlich nicht auf gegen ihn persönlich gerichtete Ermittlungen im Veruntreuungsfall beziehen (A4/10, S.6). Dass er sich in der Anhörung ohne Not mehrmals für allfällige Differenzen zur BzP entschuldigt (A11/20, S. 7, F41; S. 17, F120) und in der BzP weder die Reflexverfolgung noch das Verschwinden seiner Kollegen erwähnt (A4/10, S.6) habe, füge sich in den gewonnen Eindruck einer nachträglichen Übersteigerung der Vorbringen ein. Die eingereichten Beweismittel würden an der Nichtglaubhaftmachung seiner Vorbringen nichts zu ändern vermögen, zumal sie weder die Art und Herkunft der dokumentierten Verletzungen noch die Haft noch die gegen ihn erhobenen Anschuldigungen zu belegen vermochten.</w:t>
      </w:r>
    </w:p>
    <w:p>
      <w:r>
        <w:rPr>
          <w:b/>
        </w:rPr>
        <w:t>E. 6.1</w:t>
      </w:r>
    </w:p>
    <w:p>
      <w:r>
        <w:t>Das Bundesverwaltungsgericht stellt nach Würdigung der Aktenlage fest, dass in der Beschwerdeschrift offensichtlich zu Recht eine Verletzung der Begründungspflicht einerseits (vgl. insbesondere Art. 2, S. 3 f.) und eine ungenügende Sachverhaltsabklärung andererseits (vgl. insbesondere Art. 15 S. 8) gerügt worden ist. Erstere Pflicht umfasst als Ausfluss des Grundsatzes des rechtlichen Gehörs, dass die verfügende Behörde die Vorbringen des Beschwerdeführers tatsächlich hört, sorgfältig und ernsthaft prüft und in der Entscheidfindung berücksichtigt, was sich entsprechend in der Begründung des Entscheides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zur Begründungsdichte BGE 112 Ia 110; BVGE 2008/47 E. 3.2. S. 674 f.; EMARK 2006 Nr. 24 E. 5.1 S. 256; 2006 Nr. 4 E. 5 S. 44 ff.; 2004 Nr. 38 E. 7 S. 265). Die vom SEM angeführte Begründung betreffend seine bildlich dokumentierten Verletzungen, wonach die vorgelegten Fotos noch keinen genügenden Beweis dafür erbrächten, dass es sich um Verletzungen handelt, die von einer in Haft erlittener Misshandlung stammen, greift nach Ansicht des Gerichts zu kurz. So wird auf die anlässlich der BzP und der Anhörung gemachten entsprechenden Aussagen zum Zeitpunkt der Zufügung der Misshandlungen (anlässlich der Haft) und der Täterschaft (Asayish) nicht ansatzweise Bezug genommen (vgl. A4/10, S.6; A11/20, S. 6 f., S. 12, S.14 ff.). Nicht berücksichtigt hat die Vorinstanz ausserdem die von der Hilfswerkvertretung angebrachte Bemerkung, wonach der Beschwerdeführer sehr geprägt gewirkt habe, vor allem was die Erzählung über seine Verletzungen angehe. Es habe ihn mitgenommen, über die Folter im Irak zu sprechen, jedoch habe er sehr gut mitgewirkt. In diesem Zusammenhang ist festzustellen, dass das SEM, wie einleitend erwähnt, in Verletzung von Art. 12 VwVG den Sachverhalt ungenügend abgeklärt hat. So erwähnt der Beschwerdeführer beispielsweise anlässlich der BzP und der Anhörung mehrfach, dass er die ausgedruckten Fotos zwei Tage nach der Haft mit seinem Handy gemacht habe, wo sich die Originale befänden. Anlässlich der Anhörung übergibt er das Handy gar der Befragerin, welche dieses allerdings nicht einzieht, sondern es ohne Kontrolle des Aufnahmedatums der Fotos an den Beschwerdeführer retourniert (vgl. A4/10, S. 6; A11/20, S. 6 f., S. 15).</w:t>
      </w:r>
    </w:p>
    <w:p>
      <w:r>
        <w:rPr>
          <w:b/>
        </w:rPr>
        <w:t>E. 6.2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und, angesichts der seit 1. Februar 2014 geltenden Kognitionsbeschränkung der Beschwerdeinstanz (vgl. Art. 106 Abs. 1 AsylG), zudem die Angemessenheitsüberprüfung verlöre. Vorliegend bleibt noch einiges an Abklärungen zu treffen betreffend die Umstände rund um die zugefügten Misshandlungen. Sollte sich erweisen, dass der Beschwerdeführer anlässlich der Haft gefoltert worden ist, so scheint der vorinstanzliche Standpunkt, die Haft stelle ein "rechtstaatlich zulässigen Ermittlungsverfahren" dar, wohl kaum weiter vertretbar (vgl. insbesondere Art. 26 S. 11 in der Beschwerdeschrift). Eine Kassation erscheint mithin angezeigt.</w:t>
      </w:r>
    </w:p>
    <w:p>
      <w:r>
        <w:rPr>
          <w:b/>
        </w:rPr>
        <w:t>E. 6.3</w:t>
      </w:r>
    </w:p>
    <w:p>
      <w:r>
        <w:t>Die Beschwerde ist demzufolge gutzuheissen. Die angefochtene Verfügung ist aufzuheben und die Sache zur vollständigen Sachverhaltsfeststellung sowie zu neuer Entscheidung an die Vorinstanz zurückzuweisen. Die vorinstanzlichen Akten sowie Kopien der Beschwerdeschrift und der eingereichten Beweismittel, welche ebenfalls Prozessstoff des vorinstanzlichen Verfahrens bilden werden, werden dem SEM zugestellt. Auf die weiteren formalen und inhaltlichen Vorbringen in der Rechtsmitteleingabe ist bei diesem Verfahrensausgang nicht weiter einzugehen.</w:t>
      </w:r>
    </w:p>
    <w:p>
      <w:r>
        <w:rPr>
          <w:b/>
        </w:rPr>
        <w:t>E. 7.1</w:t>
      </w:r>
    </w:p>
    <w:p>
      <w:r>
        <w:t>Bei diesem Ausgang des Verfahrens sind keine Kosten zu erheben (vgl. Art. 63 Abs. 1 und 2 VwVG). Die Gesuche um unentgeltliche Prozessführung und um Verzicht auf die Kostenvorschusserhebung werden somit gegenstandslos.</w:t>
      </w:r>
    </w:p>
    <w:p>
      <w:r>
        <w:rPr>
          <w:b/>
        </w:rPr>
        <w:t>E. 7.2</w:t>
      </w:r>
    </w:p>
    <w:p>
      <w:r>
        <w:t>Dem professionell vertretenen Beschwerdeführer ist angesichts seines Obsiegens eine Entschädigung für die ihm notwendigerweise erwachsenen Parteikosten zuzusprechen (Art. 64 VwVG und Art. 7 Abs. 1 des Reglements vom 21. Februar 2008 über die Kosten und Entschädigungen vor dem Bundesverwaltungsgericht [VGKE, SR 173.320.2]).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Der Aufwand ist deshalb auf Grund der Akten (Art. 14 Abs. 2 in fine VGKE) unter Berücksichtigung der massgeblichen Bemessungsfaktoren (vgl. Art. 8 ff. VGKE) zu schätzen und die Entschädigung auf Fr. 1'400. - (inkl. Auslagen und Mehrwertsteueranteil) festzusetzen. Das SEM ist anzuweisen, dem Beschwerdeführer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