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E-7232/2017 vom 22. März 2018</w:t>
      </w:r>
    </w:p>
    <w:p>
      <w:r>
        <w:t>Bundesverwaltungsgericht, 2018-03-22, DE</w:t>
      </w:r>
    </w:p>
    <w:p>
      <w:r>
        <w:rPr>
          <w:b/>
        </w:rPr>
        <w:t xml:space="preserve">Quelle: </w:t>
      </w:r>
      <w:r>
        <w:t>https://mcp.opencaselaw.ch/entscheid/bvger_E-7232_2017</w:t>
      </w:r>
    </w:p>
    <w:p>
      <w:r>
        <w:t>FR: TAF E-7232/2017 du 22 mars 2018</w:t>
      </w:r>
    </w:p>
    <w:p>
      <w:r>
        <w:t>IT: TAF E-7232/2017 del 22 marzo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ist - unter Vorbehalt der nachfolgenden Erwägungen -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In der Beschwerde wird der Vorinstanz vorgeworfen, sie habe ihre Abklärungs- und Begründungspflichten verletzt, indem sie die aktuelle Situation in Somalia und die diesbezügliche bundesverwaltungsgerichtliche Rechtsprechung ausser Acht gelassen habe. Allerdings wird nicht näher substanziiert, worin Verletzungen des rechtlichen Gehörs (Art. 29 VwVG) beziehungsweise des Untersuchungsgrundsatzes liegen würden (Art. 6 AsylG i.V.m. Art. 12 VwVG). Weil solche Verletzungen auch nicht aus den Akten hervorgehen, besteht für eine Rückweisung der Sache an die Vorinstanz kein Anlass. Zu prüfen ist nachfolgend einzig die Rüge der Beschwerdeführerinnen, aufgrund des vorinstanzlich festgestellten Sachverhalts und im Lichte der bundesverwaltungsgerichtlichen Praxis die Flüchtlingseigenschaft zu erfüllen.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AsylG).Wer um Asyl nachsucht, muss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4.2</w:t>
      </w:r>
    </w:p>
    <w:p>
      <w:r>
        <w:t>In der angefochtenen Verfügung kommt die Vorinstanz zum Schluss, dass die schlechte allgemeine Sicherheitslage in Somalia keine Asylrelevanz entfalte. Dies wird von den Beschwerdeführerinnen auch auf Beschwerdeebene nicht in Frage gestellt. Zur Vermeidung von Wiederholungen kann diesbezüglich vollumfänglich auf die zutreffenden Erwägungen in der angefochtenen Verfügung verwiesen werden.</w:t>
      </w:r>
    </w:p>
    <w:p>
      <w:r>
        <w:rPr>
          <w:b/>
        </w:rPr>
        <w:t>E. 4.3</w:t>
      </w:r>
    </w:p>
    <w:p>
      <w:r>
        <w:t>Hingegen wird in der Beschwerde gerügt, dass die Beschwerdeführerin 1 im Lichte der bundesverwaltungsgerichtlichen Praxis aus frauenspezifischen Fluchtgründen die Flüchtlingseigenschaft erfülle.</w:t>
      </w:r>
    </w:p>
    <w:p>
      <w:r>
        <w:rPr>
          <w:b/>
        </w:rPr>
        <w:t>E. 4.3.1</w:t>
      </w:r>
    </w:p>
    <w:p>
      <w:r>
        <w:t>Die Vorinstanz hat eine solche Gefährdung auch deshalb nicht geprüft, weil die Beschwerdeführerin 1 in den Befragungen im Wesentlichen die schlechte Sicherheitslage in Somalia als Grund für ihre Ausreise angeführt hat. Die Vorinstanz führt diesbezüglich zu Recht aus, dass aufgrund der Aussagen während der Befragungen kein zeitlicher und sachlicher Kausalzusammenhang zwischen der einmaligen Verurteilung der Beschwerdeführerin 1 wegen Missachtung von Bekleidungsvorschriften und ihrer Ausreise bestanden hat. Nichtsdestotrotz ist nachfolgend zu prüfen, ob allenfalls frauenspezifische Fluchtgründe bestehen könnten.</w:t>
      </w:r>
    </w:p>
    <w:p>
      <w:r>
        <w:rPr>
          <w:b/>
        </w:rPr>
        <w:t>E. 4.3.2</w:t>
      </w:r>
    </w:p>
    <w:p>
      <w:r>
        <w:t>Gemäss der Rechtsprechung des Bundesverwaltungsgerichts zur Situation von Frauen in Somalia können verschiedene Faktoren dazu beitragen, dass sich eine Frau bei einer Rückkehr nach Somalia in einer Verfolgungssituation wiederfindet: Insbesondere interne Vertreibung, fehlender Schutz durch erwachsene männliche Verwandte und Zugehörigkeit zu einem Minderheitenclan (BVGE 2014/27 E. 5.2 ff.) begründen eine flüchtlingsrechtlich relevante Gefahr, Opfer von Misshandlung und sexueller Gewalt oder einer Zwangsehe zu werden (BVGE 2014/27 E. 6.1).</w:t>
      </w:r>
    </w:p>
    <w:p>
      <w:r>
        <w:rPr>
          <w:b/>
        </w:rPr>
        <w:t>E. 4.3.3</w:t>
      </w:r>
    </w:p>
    <w:p>
      <w:r>
        <w:t>Auch wenn die Aussagen der Beschwerdeführerin 1 zu ihren in Somalia verbliebenen Familienangehörigen widersprüchlich sind (vgl. A7/12 F 3.01 auf der einen Seite und A36/19 F 112-114, F 129 auf der anderen Seite), kann nicht ausgeschlossen werden, dass sie sich bei einer Rückkehr nach Somalia ohne erwachsene männliche Verwandte wiederfinden würde. Im Unterschied zur Konstellation im Urteil des BVGer E-4912/2017 vom 8. November 2017 gehört sie jedoch weder einem Minderheitenclan an, noch ist sie intern vertrieben. Ihr Clan F._______ (Subclan G._______) gehört vielmehr zu den dominierenden Clans in ihrem Heimatort C._______ (vgl. UK Home Office, Country Policy and Information Note Somalia: Majority clans and minority groups in south and central Somalia, Version 2 von Juni 2017, abrufbar unter &lt;http://www.refworld.org/pdfid/59422bdc4.pdf&gt; [19.3.2018]). Zudem ist die Beschwerdeführerin 1 direkt aus ihrem Heimatort C._______ nach Jemen gelangt und hält sich ihre älteste Tochter H._______ auch weiterhin in C._______ auf (vgl. A36/19 F 60).Sie erfüllt demzufolge höchstens einen von mehreren risikobegründenden Faktoren gemäss BVGE 2014/27. Zu berücksichtigen ist weiter, dass die Beschwerdeführerin 1 in den Befragungen keinerlei Andeutungen gemacht hat, bei einer Rückkehr nach Somalia aufgrund ihres Geschlechts und ihrer persönlichen Biografie besonders gefährdet zu sein, sexuelle Übergriffe oder Misshandlungen zu erleiden. Insofern ist die Vorinstanz im Ergebnis zu Recht davon ausgegangen, dass der Beschwerdeführerin 1 keine asylrechtliche Verfolgung droht und sie die Flüchtlingseigenschaft nicht erfüllt.</w:t>
      </w:r>
    </w:p>
    <w:p>
      <w:r>
        <w:rPr>
          <w:b/>
        </w:rPr>
        <w:t>E. 5</w:t>
      </w:r>
    </w:p>
    <w:p>
      <w:r>
        <w:t>Lehnt das Staatssekretariat das Asylgesuch ab oder tritt es darauf nicht ein, so verfügt es in der Regel die Wegweisung aus der Schweiz. 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Die Beschwerde ist abzuweisen.Die von der Vorinstanz wegen Unzumutbarkeit des Vollzugs verfügte vorläufige Aufnahme bleibt dadurch unberührt. Da die Wegweisungsvollzugshindernisse alternativer Natur sind (vgl. BVGE 2009/51 E. 5.4), besteht - anders als in der Beschwerde vorgebracht - kein schutzwürdiges Interesse an der Überprüfung, aus welchen Gründen die Vorinstanz den Vollzug aufgeschoben hat (Art. 48 Abs. 1 Bst. c VwVG). Auf den Antrag der Beschwerdeführerinnen, die Unzulässigkeit des Wegweisungsvollzugs festzustellen und die vorläufige Aufnahme zu gewähren, ist mangels Rechtsschutzinteresses nicht einzutreten.</w:t>
      </w:r>
    </w:p>
    <w:p>
      <w:r>
        <w:rPr>
          <w:b/>
        </w:rPr>
        <w:t>E. 7.1</w:t>
      </w:r>
    </w:p>
    <w:p>
      <w:r>
        <w:t>Die Beschwerdeführerinnen beantragen die Gewährung der unentgeltlichen Rechtspflege (Art. 65 Abs. 1 VwVG) und die Einsetzung einer amtlichen Rechtsbeiständin (Art. 110a Abs. 1 AsylG). Aus den vorstehenden Erwägungen ergibt sich, dass ihre Begehren als aussichtslos zu gelten haben. Damit ist eine der Voraussetzungen nicht gegeben, weshalb dem Gesuch ungeachtet der dokumentierten Bedürftigkeit nicht stattzugeben ist.</w:t>
      </w:r>
    </w:p>
    <w:p>
      <w:r>
        <w:rPr>
          <w:b/>
        </w:rPr>
        <w:t>E. 7.2</w:t>
      </w:r>
    </w:p>
    <w:p>
      <w:r>
        <w:t>Bei diesem Ausgang des Verfahrens sind die Kosten von Fr. 750.- (Art. 1-3 des Reglements vom 21. Februar 2008 über die Kosten und Entschädigungen vor dem Bundesverwaltungsgericht [VGKE], SR 173.320.2) den Beschwerdeführerinnen aufzuerlegen (Art. 63 Abs. 1 VwVG). Der Antrag, auf die Erhebung eines Kostenvorschusses zu verzichten,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