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E-722/2023 vom 16. Februar 2023</w:t>
      </w:r>
    </w:p>
    <w:p>
      <w:r>
        <w:t>Bundesverwaltungsgericht, 2023-02-16, DE</w:t>
      </w:r>
    </w:p>
    <w:p>
      <w:r>
        <w:rPr>
          <w:b/>
        </w:rPr>
        <w:t xml:space="preserve">Quelle: </w:t>
      </w:r>
      <w:r>
        <w:t>https://mcp.opencaselaw.ch/entscheid/bvger_E-722_2023</w:t>
      </w:r>
    </w:p>
    <w:p>
      <w:r>
        <w:t>FR: TAF E-722/2023 du 16 février 2023</w:t>
      </w:r>
    </w:p>
    <w:p>
      <w:r>
        <w:t>IT: TAF E-722/2023 del 16 febbraio 2023</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Art. 48 Abs. 1 sowie Art. 52 Abs. 1 VwVG).</w:t>
      </w:r>
    </w:p>
    <w:p>
      <w:r>
        <w:rPr>
          <w:b/>
        </w:rPr>
        <w:t>E. 1.3</w:t>
      </w:r>
    </w:p>
    <w:p>
      <w:r>
        <w:t>Auf die Beschwerde ist einzutreten.</w:t>
      </w:r>
    </w:p>
    <w:p>
      <w:r>
        <w:rPr>
          <w:b/>
        </w:rPr>
        <w:t>E. 2</w:t>
      </w:r>
    </w:p>
    <w:p>
      <w:r>
        <w:t>Prozessgegenstand des vorliegenden Beschwerdeverfahrens bilden die Frage der Zuerkennung der Flüchtlingseigenschaft, der Asylgewährung und der Wegweisung aus der Schweiz (ohne Wegweisungsvollzug, nach- dem das SEM bereits die vorläufige Aufnahme angeordnet hat).</w:t>
      </w:r>
    </w:p>
    <w:p>
      <w:r>
        <w:t>E-722/2023 Seite 5</w:t>
      </w:r>
    </w:p>
    <w:p>
      <w:r>
        <w:rPr>
          <w:b/>
        </w:rPr>
        <w:t>E. 3</w:t>
      </w:r>
    </w:p>
    <w:p>
      <w:r>
        <w:t>Die Kognition des Bundesverwaltungsgerichts und die zulässigen Rügen richten sich im Asylbereich nach Art. 106 Abs. 1 AsylG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Die Verfahrensakten des Ehemannes (gleiche N-Nummer einschliesslich Akten E-4680/2015 des Bundesverwaltungsgerichts) sowie des Schwa- gers (N […]) wurden zur Entscheidfindung beigezogen.</w:t>
      </w:r>
    </w:p>
    <w:p>
      <w:r>
        <w:rPr>
          <w:b/>
        </w:rPr>
        <w:t>E. 6.1</w:t>
      </w:r>
    </w:p>
    <w:p>
      <w:r>
        <w:t>Die Beschwerdeführerin rügt in mehrfacher Hinsicht eine Verletzung des rechtlichen Gehörs sowie der Pflicht zur vollständigen und richtigen Abklärung des rechtserheblichen Sachverhalts.</w:t>
      </w:r>
    </w:p>
    <w:p>
      <w:r>
        <w:rPr>
          <w:b/>
        </w:rPr>
        <w:t>E. 6.2</w:t>
      </w:r>
    </w:p>
    <w:p>
      <w:r>
        <w:t>Im Verwaltungs- und namentlich im Asylverfahren gilt der Untersu- 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w:t>
      </w:r>
    </w:p>
    <w:p>
      <w:r>
        <w:t>E-722/2023 Seite 6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m.w.H.). Der Grundsatz des rechtlichen Gehörs (Art. 29 Abs. 2 BV, Art. 29 VwVG,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w:t>
      </w:r>
    </w:p>
    <w:p>
      <w:r>
        <w:rPr>
          <w:b/>
        </w:rPr>
        <w:t>E. 6.3</w:t>
      </w:r>
    </w:p>
    <w:p>
      <w:r>
        <w:t>Die Beschwerdeführerin bringt vor, die Vorinstanz habe das rechtliche Gehör in Form des Akteneinsichtsrechts verletzt, da diese das – eine Iden- titätsabklärung betreffende und damit entscheidrelevante – Aktenstück A8/1 nicht editiert habe. Weiter habe das SEM den Anspruch auf rechtli- ches Gehör wiederholt schwerwiegend verletzt, indem es der Abklärungs- pflicht nicht nachgekommen und von einem falschen Sachverhalt ausge- gangen sei. In ihrer Argumentation verletze die Vorinstanz dabei nament- lich auch das Willkürverbot.</w:t>
      </w:r>
    </w:p>
    <w:p>
      <w:r>
        <w:rPr>
          <w:b/>
        </w:rPr>
        <w:t>E. 6.4.1</w:t>
      </w:r>
    </w:p>
    <w:p>
      <w:r>
        <w:t>Das Aktenstück A8/1 wurde vom SEM zu Recht als interne Akte qua- lifiziert, weil damit bloss nach einer internen Checkliste Abklärungen – na- mentlich in verschiedenen Datenbanken – betreffend die Identität der Be- schwerdeführerin getroffen wurden. Das SEM hat demnach dessen Edition zu Recht verweigert, ohne dabei den Anspruch auf rechtliches Gehör zu verletzen (vgl. BGE 125 II 473 E. 4a m.w.H.). Weiter ist festzuhalten, dass das SEM im angefochtenen Entscheid auf dieses Aktenstück nicht zum Nachteil der Beschwerdeführerin abgestellt hat. Die Gesuche um Gewäh- rung der Akteneinsicht in dieses Aktenstück A8/1 sowie um Einräumung einer Frist zur Beschwerdeergänzung werden demnach abgewiesen.</w:t>
      </w:r>
    </w:p>
    <w:p>
      <w:r>
        <w:rPr>
          <w:b/>
        </w:rPr>
        <w:t>E. 6.4.2</w:t>
      </w:r>
    </w:p>
    <w:p>
      <w:r>
        <w:t>Eine Verletzung der Abklärungspflicht durch eine fehlende respektive fehlerhafte Erstellung des relevanten Sachverhalts kann den Akten eben- falls nicht entnommen werden. Die Argumentation des SEM zu protokol- lierten Daten und zu der zu erwartenden Substanziiertheit der Angaben der Beschwerdeführerin betreffen nicht den formell-rechtlichen Aspekt der Sachverhaltsermittlung, sondern dessen materiell-rechtliche Würdigung, was in diesem Kontext zu prüfen sein wird.</w:t>
      </w:r>
    </w:p>
    <w:p>
      <w:r>
        <w:t>E-722/2023 Seite 7</w:t>
      </w:r>
    </w:p>
    <w:p>
      <w:r>
        <w:rPr>
          <w:b/>
        </w:rPr>
        <w:t>E. 6.4.3</w:t>
      </w:r>
    </w:p>
    <w:p>
      <w:r>
        <w:t>Insgesamt erweisen sich die Rügen der Verletzung des rechtlichen Gehörs in Form der Verletzung des Rechts auf Akteneinsicht, der unvoll- ständigen und unrichtigen Sachverhaltsermittlung sowie der willkürlichen Begründung als unbegründet. Eine Rückweisung aus formellen Gründen ist nicht angezeigt und die diesbezüglichen Rechtsbegehren sind abzuwei- 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Die Vorinstanz führte aus, die Aussagen der Beschwerdeführerin zu ih- ren Asylgründen sowie zur angeblich illegalen Ausreise in den Libanon seien oberflächlich, vage und undifferenziert ausgefallen und würden jegli- che Details oder inhaltliche Besonderheiten vermissen lassen. Dies weise auf einen konstruierten Sachverhalt hin und die Qualität der Aussagen – namentlich in Bezug auf den geschilderten Reiseweg – hätte sie auch ohne Erlebnishintergrund realisieren können. Zudem würden die Aussagen im Vergleich zu Angaben des Ehemannes beim Gesuch um Familiennach- zug zeitliche Widersprüche aufweisen. Aufgrund dieser unsubstanziierten, detailarmen, teilweise inkonsistenten Angaben sowie der Qualität dieser Aussagen könne nicht geglaubt werden, dass die Beschwerdeführerin von einer Suche durch die syrischen Behörden erfahren und Syrien illegal ver- lassen habe. Es könne auf zusätzliche Ausführungen zu weiteren Unglaub- haftigkeitselementen verzichtet werden.</w:t>
      </w:r>
    </w:p>
    <w:p>
      <w:r>
        <w:t>E-722/2023 Seite 8</w:t>
      </w:r>
    </w:p>
    <w:p>
      <w:r>
        <w:rPr>
          <w:b/>
        </w:rPr>
        <w:t>E. 8.2</w:t>
      </w:r>
    </w:p>
    <w:p>
      <w:r>
        <w:t>In der Stellungnahme vom 4. Januar 2023 habe die Beschwerdeführe- rin vom Entwurf Kenntnis genommen und einen dem Ehemann unterlaufe- nen Fehler aufgeführt. Er bestätige nun, dass sie sich im Zeitpunkt des Familiennachzugsgesuchs (September 2021) illegal im Libanon aufgehal- ten habe. Diese Angabe sei als nachträglich angepasste Parteibehauptung zu werten, welche zudem die weiteren Unglaubhaftigkeitselemente nicht zu entkräften und damit keine Änderung des Standpunktes des SEM her- beizuführen vermöge.</w:t>
      </w:r>
    </w:p>
    <w:p>
      <w:r>
        <w:rPr>
          <w:b/>
        </w:rPr>
        <w:t>E. 8.3</w:t>
      </w:r>
    </w:p>
    <w:p>
      <w:r>
        <w:t>Insgesamt würden die Vorbringen die Anforderungen an das Glaubhaft- machen gemäss Art. 7 AsylG nicht erfüllen und eine Prüfung hinsichtlich der Asylrelevanz könne unterbleiben. Auch den Asylakten des Ehemannes und des Schwagers (N 528 809) seien keine Hinweise auf eine flüchtlings- relevante Gefährdung der Beschwerdeführerin im Heimatland zu entneh- men.</w:t>
      </w:r>
    </w:p>
    <w:p>
      <w:r>
        <w:rPr>
          <w:b/>
        </w:rPr>
        <w:t>E. 9.1</w:t>
      </w:r>
    </w:p>
    <w:p>
      <w:r>
        <w:t>Die Ausführungen in der Beschwerdeeingabe, in der im Wesentlichen an der Glaubhaftigkeit und asylrechtlichen Relevanz der Vorbringen fest- gehalten wird, vermögen das Bundesverwaltungsgericht nicht zu über- zeugen:</w:t>
      </w:r>
    </w:p>
    <w:p>
      <w:r>
        <w:rPr>
          <w:b/>
        </w:rPr>
        <w:t>E. 9.2</w:t>
      </w:r>
    </w:p>
    <w:p>
      <w:r>
        <w:t>So hinterlassen die Vorbringen in ihrer Gesamtheit in der Tat einen kon- struierten und wenig substanziierten Eindruck. Diese Erwägungen in der vorinstanzlichen Verfügung, auf die verwiesen werden kann, erweisen sich als zutreffend. Dass die Vorinstanz diesbezüglich grössere Protokollstellen angeführt hat, liegt als eine Argumentationsform in ihrer Kompetenz, zumal sie damit die gezogenen Schlussfolgerungen illustriert und nachvollziehbar unterlegt hat.</w:t>
      </w:r>
    </w:p>
    <w:p>
      <w:r>
        <w:rPr>
          <w:b/>
        </w:rPr>
        <w:t>E. 9.3</w:t>
      </w:r>
    </w:p>
    <w:p>
      <w:r>
        <w:t>Es ist weiter festzuhalten, dass sich aus den Aussagen der Beschwer- deführerin verschiedene Widersprüche namentlich in zeitlicher Hinsicht er- geben.</w:t>
      </w:r>
    </w:p>
    <w:p>
      <w:r>
        <w:rPr>
          <w:b/>
        </w:rPr>
        <w:t>E. 9.3.1</w:t>
      </w:r>
    </w:p>
    <w:p>
      <w:r>
        <w:t>Ihr Ehemann hat im Rahmen des Familiennachzugs im Schreiben von 22. September 2022 unmissverständlich ausgeführt, die Beschwerde- führerin wohne noch bei ihrer Familie in Syrien. Sie gehe dort keiner Erwerbstätigkeit nach und die Familie sei in der Lage für ihren Lebens- unterhalt aufzukommen. Die Beschwerdeführerin ihrerseits gab klar zu Protokoll, sie sei am (…) April 2021 definitiv aus Syrien ausgereist (vgl. Protokoll Anhörung F/A11). Im Rahmen der Stellungnahme vom 4. Januar 2023 zum Entwurf der angefochtenen Verfügung erklärte der Ehemann</w:t>
      </w:r>
    </w:p>
    <w:p>
      <w:r>
        <w:t>E-722/2023 Seite 9 neu, er habe sich im Datum geirrt. Diese Parteibehauptung des Ehegatten überzeugt nicht. Dass dieser versehentlich den Aufenthaltsort respektive -staat nicht korrekt benannt haben will, ist im Kontext nicht nachvollziehbar; diese Korrektur nach Kenntnisnahme des Entscheidentwurfs ist mit der Vorinstanz als Versuch zu werten, den Sachverhalt nachträglich anzupas- sen und so die Aussagen der Ehefrau in einem glaubhaften Licht erschei- nen zu lassen.</w:t>
      </w:r>
    </w:p>
    <w:p>
      <w:r>
        <w:rPr>
          <w:b/>
        </w:rPr>
        <w:t>E. 9.3.2</w:t>
      </w:r>
    </w:p>
    <w:p>
      <w:r>
        <w:t>In der Beschwerde wird insbesondere gerügt, das SEM habe als Folge der ungenauen Sachverhaltsermittlung fälschlicherweise angenom- men, die Beschwerdeführerin habe zeitlich nicht vereinbare Aussagen zu Protokoll gegeben. Bei genauer Betrachtung der Protokollstellen werde klar, dass sie jeweils angegeben habe, am 1. Februar 2020 geheiratet zu haben. Sodann habe der Dolmetscher das von ihr genannte Datum, wann sie von der Suche nach ihr erfahren habe, falsch festgehalten. Aufgrund dessen Fehlverhaltens sei hierzu das Datum vom 1. Februar 2021 erfasst worden. Sie habe jedoch klar das Jahr 2020 gesagt und auch gemeint.</w:t>
      </w:r>
    </w:p>
    <w:p>
      <w:r>
        <w:rPr>
          <w:b/>
        </w:rPr>
        <w:t>E. 9.3.3</w:t>
      </w:r>
    </w:p>
    <w:p>
      <w:r>
        <w:t>Die Beschwerdeführerin beantwortete die Frage, wann sie aufgrund der Nachfragen über ihren Vater von der Suche nach ihr erfahren habe, gemäss Protokoll mit den unmissverständlichen Worten "Es war ca. am 1. Februar 2021" (vgl. Protokoll Anhörung F/A32). In der Beschwerde (vgl. dort S. 4 f.) wird hierzu gerügt, der Dolmetscher habe dies falsch festge- halten, sie habe klar das Jahr 2020 gemeint, und es sei "frappant", dass die Vorinstanz im Verlauf der Anhörung, bei der Frage 65, lediglich den "1. Februar" erwähnt habe.</w:t>
      </w:r>
    </w:p>
    <w:p>
      <w:r>
        <w:rPr>
          <w:b/>
        </w:rPr>
        <w:t>E. 9.3.4</w:t>
      </w:r>
    </w:p>
    <w:p>
      <w:r>
        <w:t>Gemäss den Ausführungen in der Beschwerde wäre davon auszuge- hen, die Beschwerdeführerin habe am 1. Februar 2020 von der Suche nach ihr erfahren. Damit ergeben sich jedoch weitere Ungereimtheiten und Widersprüche. So hat sie einerseits ausgesagt, nachdem sie von dieser Suche erfahren habe, sei es zur Verlobung mit ihrem heutigen Ehemann gekommen (vgl. a.a.O. F/A26). Andererseits hat sie angegeben, am 1. Februar 2020 geheiratet zu haben (vgl. a.a.O. F/A13, bekräftigt in der Beschwerde S. 4). Diese Angaben erweisen sich als klar widersprüchlich.</w:t>
      </w:r>
    </w:p>
    <w:p>
      <w:r>
        <w:rPr>
          <w:b/>
        </w:rPr>
        <w:t>E. 9.3.5</w:t>
      </w:r>
    </w:p>
    <w:p>
      <w:r>
        <w:t>Die Beschwerdeführerin wurde gegen Ende der Anhörung auf einige Unstimmigkeiten hingewiesen, wobei sie explizit auf ihre Datumsangabe angesprochen wurde, dass sie am 1. Februar 2021 von der Suche erfahren habe, und diese zeitliche Angabe nicht mit der Chronologie betreffend Ver- lobung übereinstimme. Spätestens hier hätte sie das angebliche Fehl- verhalten des Dolmetschers erkennen können und müssen. Sie erklärte</w:t>
      </w:r>
    </w:p>
    <w:p>
      <w:r>
        <w:t>E-722/2023 Seite 10 jedoch nur, die Personen (die der Vater kontaktiert habe) hätten schon vor- her (vor dem 1. Februar 2021) erwähnt, dass sie gesucht werde, nur die konkrete Bestätigung sei erst danach erfolgt (vgl. a.a.O. F/A67).</w:t>
      </w:r>
    </w:p>
    <w:p>
      <w:r>
        <w:rPr>
          <w:b/>
        </w:rPr>
        <w:t>E. 9.3.6</w:t>
      </w:r>
    </w:p>
    <w:p>
      <w:r>
        <w:t>Eine letzte Möglichkeit zur Korrektur hätte sich ihr sodann bei der Übersetzung ihrer Aussagen am Ende der Anhörung ergeben. Auch hier hat sie das zweimal protokollierte Datum vom 1. Februar 2021 nicht als falsch erfasst moniert. Schliesslich ist festzuhalten, dass die vormalige Rechtsvertretung bei der Anhörung anwesend gewesen ist und keine Be- anstandungen zum Befragungsverlauf angebracht hat. Der Versuch, das besagte Datum als Fehler des Dolmetschers hinzustellen, erweist sich als unbehelflich.</w:t>
      </w:r>
    </w:p>
    <w:p>
      <w:r>
        <w:rPr>
          <w:b/>
        </w:rPr>
        <w:t>E. 9.4</w:t>
      </w:r>
    </w:p>
    <w:p>
      <w:r>
        <w:t>Zusammenfassend ist es der Beschwerdeführerin nicht gelungen, eine im Sinn von Art. 3 AsylG relevante Verfolgungsgefahr nachzuweisen oder glaubhaft darzutun. Die Vorinstanz hat ihr Asylgesuch zu Recht und mit zutreffender Begründung abgelehnt.</w:t>
      </w:r>
    </w:p>
    <w:p>
      <w:r>
        <w:rPr>
          <w:b/>
        </w:rPr>
        <w:t>E. 10.1</w:t>
      </w:r>
    </w:p>
    <w:p>
      <w:r>
        <w:t>Lehnt das SEM das Asylgesuch ab oder tritt es darauf nicht ein, ver- fügt es in der Regel die Wegweisung aus der Schweiz und ordnet den Voll- zug an; es berücksichtigt dabei den Grundsatz der Einheit der Familie (Art. 44 AsylG).</w:t>
      </w:r>
    </w:p>
    <w:p>
      <w:r>
        <w:rPr>
          <w:b/>
        </w:rPr>
        <w:t>E. 10.2</w:t>
      </w:r>
    </w:p>
    <w:p>
      <w:r>
        <w:t>Die Beschwerdeführerin verfügt insbesondere weder über eine aus- länderrechtliche Aufenthaltsbewilligung noch über einen Anspruch auf Er- teilung einer solchen. Die Wegweisung wurde demnach ebenfalls zu Recht angeordnet (vgl. BVGE 2013/37 E. 4.4; 2009/50 E. 9, je m.w.H.).</w:t>
      </w:r>
    </w:p>
    <w:p>
      <w:r>
        <w:rPr>
          <w:b/>
        </w:rPr>
        <w:t>E. 10.3</w:t>
      </w:r>
    </w:p>
    <w:p>
      <w:r>
        <w:t>Da das SEM in seiner Verfügung vom 5. Januar 2023 die vorläufige Aufnahme der Beschwerdeführerin in der Schweiz angeordnet hat, erübri- gen sich praxisgemäss Ausführungen zur Zulässigkeit, Zumutbarkeit und Möglichkeit des Wegweisungsvollzugs.</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t>E-722/2023 Seite 11</w:t>
      </w:r>
    </w:p>
    <w:p>
      <w:r>
        <w:rPr>
          <w:b/>
        </w:rPr>
        <w:t>E. 12.1</w:t>
      </w:r>
    </w:p>
    <w:p>
      <w:r>
        <w:t>Das mit der Beschwerde gestellte Gesuch um Gewährung der unent- geltlichen Prozessführung im Sinn von Art. 65 Abs. 1 VwVG ist ungeachtet der behaupteten Mittellosigkeit abzuweisen, da sich die Beschwerdebe- gehren – wie den vorstehenden Erwägungen zu entnehmen ist – als aus- sichtslos erweisen. Das Gesuch um Befreiung von der Kostenvorschuss- pflicht (respektive es sei eine angemessene Frist zur Bezahlung des Vor- schusses zu setzen) wird mit dem vorliegenden Entscheid in der Sache gegenstandslos.</w:t>
      </w:r>
    </w:p>
    <w:p>
      <w:r>
        <w:rPr>
          <w:b/>
        </w:rPr>
        <w:t>E. 12.2</w:t>
      </w:r>
    </w:p>
    <w:p>
      <w:r>
        <w:t>Bei diesem Ausgang des Verfahrens sind die Kosten der Beschwer- deführerin aufzuerlegen (Art. 63 Abs. 1 VwVG). Diese sind auf insgesamt Fr. 750.− festzusetzen (Art. 1–3 des Reglements vom 21. Februar 2008 über die Kosten und Entschädigungen vor dem Bundesverwaltungsgericht [VGKE, SR 173.320.2]).</w:t>
      </w:r>
    </w:p>
    <w:p>
      <w:r>
        <w:t>(Dispositiv nächste Seite)</w:t>
      </w:r>
    </w:p>
    <w:p>
      <w:r>
        <w:t>E-722/2023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