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E-7226/2014 vom 17. Juni 2015</w:t>
      </w:r>
    </w:p>
    <w:p>
      <w:r>
        <w:t>Bundesverwaltungsgericht, 2015-06-17, DE</w:t>
      </w:r>
    </w:p>
    <w:p>
      <w:r>
        <w:rPr>
          <w:b/>
        </w:rPr>
        <w:t xml:space="preserve">Quelle: </w:t>
      </w:r>
      <w:r>
        <w:t>https://mcp.opencaselaw.ch/entscheid/bvger_E-7226_2014</w:t>
      </w:r>
    </w:p>
    <w:p>
      <w:r>
        <w:t>FR: TAF E-7226/2014 du 17 juin 2015</w:t>
      </w:r>
    </w:p>
    <w:p>
      <w:r>
        <w:t>IT: TAF E-7226/2014 del 17 giugno 2015</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im Sinne von Art. 5 VwVG. Es entscheidet im vorliegenden Verfahren endgültig (Art. 105 AsylG [SR 142.31], Art. 83 Bst. d Ziff. 1 BGG).</w:t>
      </w:r>
    </w:p>
    <w:p>
      <w:r>
        <w:rPr>
          <w:b/>
        </w:rPr>
        <w:t>E. 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3</w:t>
      </w:r>
    </w:p>
    <w:p>
      <w:r>
        <w:t>Vorliegend steht der Zeitpunkt der Eröffnung der angefochtenen Verfügung nicht fest. Die Beweislast für die Zustellung an den Beschwerdeführer liegt bei der eröffnenden Behörde (vgl. André Moser/Michael Beusch/Lorenz Kneubühler, Prozessieren vor dem Bundesgericht, Basel 2008, Rz. 3.150. S. 166f.). Daher ist davon auszugehen, dass die bei der Schweizerischen Botschaft eingereichte Beschwerde im Sinne von Art. 21 Abs. 1 VwVG rechtzeitig eingegangen ist. Sie ist auch formgerecht eingereicht (Art. 6 AsylG i.V.m. Art. 52 VwVG). Der Beschwerdeführer ist als Verfügungsadressat zur Einreichung der Beschwerde legitimiert (Art. 105 AsylG i.V.m. Art. 48 Abs. 1 VwVG). Auf die Beschwerde ist einzutreten.</w:t>
      </w:r>
    </w:p>
    <w:p>
      <w:r>
        <w:rPr>
          <w:b/>
        </w:rPr>
        <w:t>E. 4</w:t>
      </w:r>
    </w:p>
    <w:p>
      <w:r>
        <w:t>Das Bundesverwaltungsgericht überprüft die vorliegende Beschwerde auf Verletzung von Bundesrecht und unrichtige oder unvollständige Feststellung des rechtserheblichen Sachverhalts hin (Art. 106 Abs. 1 AsylG).</w:t>
      </w:r>
    </w:p>
    <w:p>
      <w:r>
        <w:rPr>
          <w:b/>
        </w:rPr>
        <w:t>E. 5</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6.2 Das SEM kann ein im Ausland gestelltes Asylgesuch ablehnen, wenn die asylsuchenden Personen keine Verfolgung glaubhaft machen können oder ihnen die Aufnahme in einem Drittstaat zugemutet werden kann (Art. 3, Art. 7 und altArt. 52 Abs. 2 AsylG). Gemäss altArt. 20 Abs. 2 AsylG bewilligt das BFM Asylsuchenden die Einreise zur Abklärung des Sachverhaltes, wenn ihnen nicht zugemutet werden kann, im Wohnsitz- oder Aufenthaltsstaat zu bleiben oder in ein anderes Land auszureisen. 6.3 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aktuelle Praxis gemäss Entscheidungen und Mitteilungen der [vormaligen] Schweizerischen Asylrekurskommission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7.Mit der Vorinstanz ist festzuhalten, dass keine Anhaltspunkte dafür bestehen, dass der Beschwerdeführer in absehbarer Zukunft erneut ernsthaften Nachteilen durch Verfolgungsmassnahmen der sri-lankischen Sicherheitskräfte ausgesetzt sein dürfte, zumal er im April 2010 offiziell aus der Rehabilitationshaft entlassen worden ist. Dass er auch nach seiner Entlassung unter Beobachtung der Behörden gestanden hat, ist im Zusammenhang mit der Bekämpfung des Terrorismus zu sehen. Derartigen Massnahmen kommt mangels asylbeachtlicher Intensität kein asylrechtlicher Verfolgungscharakter zu. Ausserdem könnte er sich durch Wegzug in einen anderen Landesteil den weitgehend lokal oder regional beschränkten Nachteilen entziehen. Hierzu ist auf die zutreffenden Ausführungen der Vorinstanz zu verweisen. Was die vorgebrachte Entführung im August 2013 betrifft, so deuten seine Angaben nicht auf eine politisch motivierte staatliche, sondern eher auf eine private kriminelle Handlung hin im Zusammenhang mit der Unterschlagung des eingezogenen Geldes und Lösegelderpressung. Diesbezüglich ist der Beschwerdeführer auf die Schutzsuche in seinem Heimatstaat verwiesen. Auf Beschwerdeebene bringt er nichts vor, was geeignet wäre, diese Einschätzung umzustossen, zumal er lediglich seine bisherigen Vorbringen bekräftigt und weitere Behelligungen von nichtstaatlicher Seite geltend macht. Nach dem Gesagten hat die Vorinstanz die Schutzbedürftigkeit des Beschwerdeführers zu Recht verneint. 8.Aus diesen Erwägungen ergibt sich, dass die angefochtene Verfügung Bundesrecht nicht verletzt und auch sonst nicht zu beanstanden ist (Art. 106 AsylG). Die Beschwerde ist demnach abzuweisen. 9.Bei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