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E-7217/2014 vom 18. Dezember 2014</w:t>
      </w:r>
    </w:p>
    <w:p>
      <w:r>
        <w:t>Bundesverwaltungsgericht, 2014-12-18, DE</w:t>
      </w:r>
    </w:p>
    <w:p>
      <w:r>
        <w:rPr>
          <w:b/>
        </w:rPr>
        <w:t xml:space="preserve">Quelle: </w:t>
      </w:r>
      <w:r>
        <w:t>https://mcp.opencaselaw.ch/entscheid/bvger_E-7217_2014</w:t>
      </w:r>
    </w:p>
    <w:p>
      <w:r>
        <w:t>FR: TAF E-7217/2014 du 18 décembre 2014</w:t>
      </w:r>
    </w:p>
    <w:p>
      <w:r>
        <w:t>IT: TAF E-7217/2014 del 18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[SR 142.31];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gelangt nach Prüfung der Akten zum Schluss, dass die Vorinstanz das Asylgesuch des Beschwerdeführers im Ergebnis zu Recht abgewiesen hat. Das BFM hat den Sachverhalt genügend abgeklärt und in seinem Entscheid die Gründe, weshalb die Vorbringen des Beschwerdeführers als widersprüchlich und unsubstantiiert, und damit als unglaubhaft zu erachten sind, in grundsätzlich schlüssiger und einlässlicher Weise aufgezeigt.</w:t>
      </w:r>
    </w:p>
    <w:p>
      <w:r>
        <w:rPr>
          <w:b/>
        </w:rPr>
        <w:t>E. 5.1</w:t>
      </w:r>
    </w:p>
    <w:p>
      <w:r>
        <w:t>Soweit das Bundesamt in grundsätzlicher Weise die Homosexualität des Beschwerdeführers in Zweifel zieht, kann diese Einschätzung nach Auffassung des Bundesverwaltungsgerichts letztlich offenbleiben. Zwar enthalten die diesbezüglichen Schilderungen des Beschwerdeführers in der Tat teilweise Ungereimtheiten, beispielsweise zur Frage, wann er sich seiner sexuellen Orientierung bewusst geworden sein soll. Einerseits geht aus den Aussagen des Beschwerdeführers hervor, dass es sich um einen allmählichen Prozess der Bewusstwerdung gehandelt habe; er sagte etwa aus, er habe versucht, Beziehungen mit Frauen zu führen und auch eine Freundin gehabt, dann aber gemerkt, dass er sich dabei nicht wohl fühle (vgl. A26 S. 6). Andererseits brachte er die Bewusstwerdung in einen konkreten Zusammenhang damit, dass er vergewaltigt worden sei und danach gemerkt habe, dass er Männer liebe, und führte widersprüchlich aus, dies habe er im Alter von 18 Jahren (vgl. A26, S. 6) beziehungsweise im Alter von 15 oder 16 Jahren (vgl. A26, S. 7) erlitten. Diese Ungereimtheiten lassen nach Ansicht des Bundesverwaltungsgerichts nicht zwingend darauf schliessen, die Homosexualität des Beschwerdeführers beziehungsweise die Frage, ab wann er seine homosexuelle Orientierung genau festgestellt habe und seine Homosexualität für ihn festgestanden sei, seien nicht glaubhaft. Weitere Erörterungen in diesem Kontext können jedenfalls letztlich unterbleiben, da diese Fragen für den Ausgang des Asylverfahrens nicht von entscheidgebender Bedeutung ist.</w:t>
      </w:r>
    </w:p>
    <w:p>
      <w:r>
        <w:rPr>
          <w:b/>
        </w:rPr>
        <w:t>E. 5.2</w:t>
      </w:r>
    </w:p>
    <w:p>
      <w:r>
        <w:t>Entscheidrelevant ist vielmehr, dass es dem Beschwerdeführer, wie das BFM zutreffend und ausführlich dargelegt hat, nicht gelungen ist, die ihm angeblich aus seiner Homosexualität resultierende Verfolgungslage als überwiegend wahrscheinlich darzutun.</w:t>
      </w:r>
    </w:p>
    <w:p>
      <w:r>
        <w:rPr>
          <w:b/>
        </w:rPr>
        <w:t>E. 5.2.1</w:t>
      </w:r>
    </w:p>
    <w:p>
      <w:r>
        <w:t>Einerseits ist festzuhalten, dass der Beschwerdeführer keinerlei Beweismittel zur Stützung der von ihm geltend gemachten Festnahme und Inhaftierung beigebracht hat. Er hat auch nicht in schlüssiger Weise dargelegt, dass ihm aus der angeblich 16-tägigen Haft im Zivilgefängnis (vgl. A26, S. 6) irgendwelche weitere nachhaltige, asylbeachtliche Nachteile entstanden sind. Zudem stand diese Inhaftierung gemäss seinen eigenen Angaben im Zusammenhang mit seiner Angetrunkenheit (vgl. Akte A26, S. 5 und 6). Er hat zwar angegeben, es sei ihm vorgeworfen worden, er und sein Freund hätten sich "wie Nutten" verhalten (vgl. A26, S. 6 oben). Es ist ihm jedoch nicht gelungen, einen schlüssigen Zusammenhang zwischen dieser Inhaftierung und seiner geltend gemachten Homosexualität darzulegen.</w:t>
      </w:r>
    </w:p>
    <w:p>
      <w:r>
        <w:rPr>
          <w:b/>
        </w:rPr>
        <w:t>E. 5.2.2</w:t>
      </w:r>
    </w:p>
    <w:p>
      <w:r>
        <w:t>Im Weiteren enthalten die Ausführungen des Beschwerdeführers bezüglich der behaupteten Verfolgung durch Islamisten respektive Angehörige der Al-Nahda massgebliche Widersprüche. So hat der Beschwerdeführer die beiden explizit vorgetragenen Übergriffe in zeitlicher Hinsicht ganz unterschiedlich datiert. Einerseits gab er hierzu an, der erste Angriff habe sich vor und der zweite Angriff nach der Revolution, im Jahr 2013, zugetragen (vgl. Akte A26, S. 12 und 17). Andererseits gab er jedoch an, die beiden Übergriffe hätten in den Jahren 2009 und 2011 stattgefunden (vgl. Akte A26, S. 16f.). In der Rechtsmitteleingabe werden diese zeitlichen Widersprüche vom Beschwerdeführer ausdrücklich eingeräumt (vgl. Beschwerde, Punkt 2b). Er führt in der Beschwerdeschrift weiter aus, es sei nicht bei den beiden anlässlich der Befragung ausdrücklich erwähnten zwei Übergriffe geblieben; er habe darüber hinaus mit den Islamisten weitere Probleme gehabt und entsprechende Übergriffe erlebt. Dieses Vorbringen findet indessen in den protokollierten Schilderungen keinerlei Stütze und muss daher als nachgeschoben und somit unglaubhaft gewertet werden.</w:t>
      </w:r>
    </w:p>
    <w:p>
      <w:r>
        <w:rPr>
          <w:b/>
        </w:rPr>
        <w:t>E. 5.2.3</w:t>
      </w:r>
    </w:p>
    <w:p>
      <w:r>
        <w:t>Schliesslich hat das BFM zutreffend dargelegt, dass die Aussagen zum geschilderten ersten Angriff auf den Beschwerdeführer, welcher sich gemäss seinen eigenen Angaben vor der Revolution zugetragen haben soll, tatsachenwidrig sind und im Widerspruch zur allgemeinen Logik stehen. Insbesondere ist nicht nachvollziehbar, dass der Vorgesetzte des Polizeipostens, bei welchem der Beschwerdeführer den erlittenen Überfall angezeigt haben will, sich in der vom Beschwerdeführer geschilderten Weise verhalten haben soll. Es ist nicht plausibel, dass der zuständige Polizeichef dem Beschwerdeführer mitgeteilt haben soll, dass dieser mit seiner beabsichtigten Anzeigeerstattung keine Chance habe, weil die Islamisten die "Macht in den Händen" hätten (vgl. A 26, S. 14), nachdem im fraglichen Zeitpunkt, im Jahr 2009 (vor der Revolution in Tunesien), das Land vielmehr unter dem Regime Ben Alis stand und im damaligen Zeitpunkt die islamistische Partei Al-Nahda verboten war.</w:t>
      </w:r>
    </w:p>
    <w:p>
      <w:r>
        <w:rPr>
          <w:b/>
        </w:rPr>
        <w:t>E. 5.2.4</w:t>
      </w:r>
    </w:p>
    <w:p>
      <w:r>
        <w:t>Insgesamt ist es dem Beschwerdeführer somit nicht gelungen, wegen seiner homosexuellen Orientierung erlebte Verfolgungsmassnahmen seitens der tunesischen Behörden oder seitens islamistischer Gruppierungen nachzuweisen oder überwiegend glaubhaft zu machen. Die vom Beschwerdeführer dargelegte allgemeine diskriminierende Haltung der Bevölkerung gegen die Homosexuellen in Tunesien vermag für sich alleine keinen asylbeachtlichen Nachteil im Sinne des Asylgesetzes darzustellen. Der Rechtsmitteleingabe sind keine stichhaltigen Entgegnungen zu entnehmen, welche die Argumentation der Vorinstanz in Zweifel zu ziehen vermögen, weshalb sich diesbezüglich weitere Ausführungen erübrigen. Es gibt keine Hinweise dafür, dass der Beschwerdeführer im Fall einer Rückkehr nach Tunesien alleine aufgrund seiner sexuellen Orientierung mit asylbeachtlichen Nachteilen rechnen muss. Hieran vermag auch die eingereichte Bestätigung von Queeramnesty vom 9. Dezember 2014 nichts zu ändern, zumal diese lediglich bestätigt, dass der Beschwerdeführer gemäss eigenen Angaben - die im vorliegenden Urteil nach dem oben Gesagten als unglaubhaft gewürdigt werden müssen - aufgrund seiner Homosexualität im Heimatland Behelligungen erlitten habe, und dass er seit seinem Aufenthalt in der Schweiz Kontakte zur Schwulenszene geknüpft habe. Wie oben dargelegt, hat der Beschwerdeführer nicht glaubhaft zu machen vermocht, dass er im Heimatland ernsthafte Nachteile im Sinne von Art. 3 AsylG erlitten habe oder in begründeter Weise befürchten muss. Das BFM hat demnach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In Tunesien herrscht keine Situation von Krieg, Bürgerkrieg oder allgemeiner Gewalt. Es liegen auch keine Anhaltspunkte dafür vor, dass der Beschwerdeführer bei einer Rückkehr nach Tunesien aus individuellen Gründen wirtschaftlicher, sozialer oder gesundheitlicher Natur in eine existenzbedrohende Situation geraten würde. Er hat sich eine hinreichende Berufserfahrung angeeignet und verfügt im Heimatstaat über ein familiäres Beziehungsnetz. Nach dem Gesagten kann der Vollzug der Wegweisung - entgegen der in der Rechtsmitteleingabe vertretenen Auffassung - sowohl in genereller als auch in individueller Hinsicht als zumutbar bezeichnet werden.</w:t>
      </w:r>
    </w:p>
    <w:p>
      <w:r>
        <w:rPr>
          <w:b/>
        </w:rPr>
        <w:t>E. 7.4</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daher abzuweisen.</w:t>
      </w:r>
    </w:p>
    <w:p>
      <w:r>
        <w:rPr>
          <w:b/>
        </w:rPr>
        <w:t>E. 9.1</w:t>
      </w:r>
    </w:p>
    <w:p>
      <w:r>
        <w:t>Der Antrag betreffend Verzicht auf die Erhebung eines Kostenvorschusses ist aufgrund des direkten Entscheids in der Hauptsache gegenstandslos geworden, weshalb darüber nicht zu befinden ist.</w:t>
      </w:r>
    </w:p>
    <w:p>
      <w:r>
        <w:rPr>
          <w:b/>
        </w:rPr>
        <w:t>E. 10</w:t>
      </w:r>
    </w:p>
    <w:p>
      <w:r>
        <w:t>Das mit der Beschwerde gestellte Gesuch um Gewährung der unentgeltlichen Rechtspflege im Sinne von Art. 65 Abs. 1 VwVG ist - ungeach­tet der Frage der prozessualen Bedürftigkeit - abzuweisen, da die Begehren - wie sich aus den vorstehenden Erwägungen ergibt - als aussichtlos zu bezeichnen sind. Bei diesem Ausgang des Verfahrens sind daher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