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E-7210/2014 vom 28. Juli 2015</w:t>
      </w:r>
    </w:p>
    <w:p>
      <w:r>
        <w:t>Bundesverwaltungsgericht, 2015-07-28, DE</w:t>
      </w:r>
    </w:p>
    <w:p>
      <w:r>
        <w:rPr>
          <w:b/>
        </w:rPr>
        <w:t xml:space="preserve">Quelle: </w:t>
      </w:r>
      <w:r>
        <w:t>https://mcp.opencaselaw.ch/entscheid/bvger_E-7210_2014</w:t>
      </w:r>
    </w:p>
    <w:p>
      <w:r>
        <w:t>FR: TAF E-7210/2014 du 28 juillet 2015</w:t>
      </w:r>
    </w:p>
    <w:p>
      <w:r>
        <w:t>IT: TAF E-7210/2014 del 28 luglio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Beschwerdeführerin genügend klare, sinngemässe Rechtsbegehren sowie deren Begründung zu entnehmen sind und ohne Weiteres darüber befunden werden kann.</w:t>
      </w:r>
    </w:p>
    <w:p>
      <w:r>
        <w:rPr>
          <w:b/>
        </w:rPr>
        <w:t>E. 1.4</w:t>
      </w:r>
    </w:p>
    <w:p>
      <w:r>
        <w:t>Der Zeitpunkt der Eröffnung des angefochtenen Einspracheentscheides steht mangels einer Empfangsbestätigung nicht fest. Aufgrund der zeitlichen Umstände sowie angesichts dessen, dass die Beweislast für die Zustellung an die Partei der eröffnenden Behörde obliegt (vgl. André Moser/Michael Beusch/Lorenz Kneubühler, Prozessieren vor dem Bundesverwaltungsgericht, 2. Aufl., 2013, S. 76 Rz. 2.112), ist zugunsten der Beschwerdeführerin von der Rechtzeitigkeit ihrer Rechtsmitteleingabe auszugehen. Die Beschwerdeführerin ist gemäss Art. 48 Abs. 1 VwVG zur Be­schwerde berechtigt. Auf die (vermutungsweise) fristgerecht und in der Form akzeptiert eingereichte Beschwerde ist somit einzutreten (Art. 50 und 52 Abs. 1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Gemäss Art. 21 Abs. 1 VGG ergeht dieser Entscheid in der Besetzung mit drei Richterinnen beziehungsweise Richtern.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liegt das Gesuch einer sri-lankischen Staatsangehörigen um Erteilung eines Schengen- beziehungsweise humanitären Visums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der Verordnung vom 22. Oktober 2008 über die Einreise und die Visumserteilung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VEV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der Botschaft vom 26. Mai 2010 zur Änderung des Asylgesetzes (BBl 2010 4455)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Bei einem solchen, durch das Vorliegen einer beachtlichen unmittelbaren und ernsthaften konkreten Gefahr gerechtfertigten humanitären Visum, entfällt die in Erwägung 4.3 genannte Einreisevoraussetzung, wonach die rechtzeitige (vor Ablauf der 90-tägigen Visumsdauer) Wiederausreise aus der Schweiz zu belegen ist. Es wird vielmehr davon ausgegangen, dass der Visumsinhaber ein Asylgesuch einreicht, sobald er sich in der Schweiz befindet. Unterlässt er dies, hat er die Schweiz nach drei Monaten wieder zu verlassen.</w:t>
      </w:r>
    </w:p>
    <w:p>
      <w:r>
        <w:rPr>
          <w:b/>
        </w:rPr>
        <w:t>E. 5.2</w:t>
      </w:r>
    </w:p>
    <w:p>
      <w:r>
        <w:t>Gemäss der Weisung Nr. 322.126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6</w:t>
      </w:r>
    </w:p>
    <w:p>
      <w:r>
        <w:t>Die Beschwerdeführerin unterliegt als sri-lankische Staatsangehörige der Visumpflicht gemäss Art. 4 VEV bzw. der Verordnung (EG) Nr. 539/2001 (vgl. oben, Erwägung 4.3).</w:t>
      </w:r>
    </w:p>
    <w:p>
      <w:r>
        <w:rPr>
          <w:b/>
        </w:rPr>
        <w:t>E. 6.1</w:t>
      </w:r>
    </w:p>
    <w:p>
      <w:r>
        <w:t>Im Beschwerdeverfahren wird nicht bestritten, dass die von der Vor-instanz in ihrem Einspracheentscheid dargelegten Voraussetzungen für die Erteilung eines Schengenvisums nicht gegeben sind; namentlich wird der Einschätzung der Vorinstanz, eine Wiederausreise der Beschwerdeführerin aus dem Schengen-Raum vor Ablauf der Visumsfrist sei nicht gewährleistet, nicht widersprochen. Die Beschwerdeführerin sucht vielmehr gerade um Schutz vor einer Gefährdung im Heimatland nach, die offensichtlich längerfristig bestehe.</w:t>
      </w:r>
    </w:p>
    <w:p>
      <w:r>
        <w:rPr>
          <w:b/>
        </w:rPr>
        <w:t>E. 6.2</w:t>
      </w:r>
    </w:p>
    <w:p>
      <w:r>
        <w:t>Hingegen ficht die Beschwerdeführerin die Verweigerung des Visums aus humanitären Gründen an und bestreitet sinngemäss die vorinstanzliche Einschätzung, sie habe die Voraussetzungen für die Erteilung eines humanitären Visums nicht aufzuzeigen vermocht.</w:t>
      </w:r>
    </w:p>
    <w:p>
      <w:r>
        <w:rPr>
          <w:b/>
        </w:rPr>
        <w:t>E. 6.3</w:t>
      </w:r>
    </w:p>
    <w:p>
      <w:r>
        <w:t>Die Vorinstanz führte zur Begründung des ablehnenden Entscheids in dieser Hinsicht im Wesentlichen aus, es sei zwar nicht gänzlich auszuschliessen, dass die Befürchtungen der Beschwerdeführerin - sie könne nach (...) aus der Haft entführt werden, um diesen unter Druck zu setzen und zum (...) zu bewegen - eintreten könnten. Den Akten und den Ausführungen der Beschwerdeführerin könne indessen entnommen werden, dass eine solche konkrete Gefährdung zur Zeit nicht bestehe, da von ihrer eigenen Freilassung bis zur Antragstellung (...) vergangen seien und sie seither keine ernsthaften Nachteile erlitten habe. Ausserdem sei sie bereits (...) nach G._______ und wieder zurück nach Sri Lanka gereist. Es sei deshalb nicht von einer unmittelbaren, ernsthaften und konkreten Gefahr auszugehen. Selbst wenn sie ernsthafte Nachteile in Bezug auf ihre Freiheit oder unerträglichen psychischen Druck erlitten habe, würde dies die Erteilung eines humanitären Visums nicht rechtfertigen. Das Gesetz sehe eine solche nur vor, wenn sich jemand in unmittelbarer Gefahr für sein Leben befände. Auf Vernehmlassungsstufe wies die Vorinstanz ergänzend daraufhin, dass die Beschwerdeführerin sich mehrheitlich mit Ereignissen, die (...) beträfen begründet hätte, woraus aber keine "Reflex"-Begründung abgeleitet werden könne. Eine besondere Notsituation, welche ein behördliches Eingreifen zwingend erforderlich mache, liege demnach nicht vor.</w:t>
      </w:r>
    </w:p>
    <w:p>
      <w:r>
        <w:rPr>
          <w:b/>
        </w:rPr>
        <w:t>E. 6.4</w:t>
      </w:r>
    </w:p>
    <w:p>
      <w:r>
        <w:t>Die Beschwerdeführerin brachte auf Beschwerdestufe im Wesentlichen vor, was sie bereits bei der Vorinstanz geltend gemacht hatte. Insbesondere stehe der Beginn des Gerichtsprozesses (...) und sie lebe unter der permanenten Angst, entführt zu werden.</w:t>
      </w:r>
    </w:p>
    <w:p>
      <w:r>
        <w:rPr>
          <w:b/>
        </w:rPr>
        <w:t>E. 6.5</w:t>
      </w:r>
    </w:p>
    <w:p>
      <w:r>
        <w:t>Das Bundesverwaltungsgericht kommt nach eingehender Prüfung al-ler Verfahrensakten zum Schluss, dass die Vorinstanz vorliegend das Gesuch um Erteilung eines humanitären Visums zu Recht abgelehnt hat. Dabei wies sie zu Recht darauf hin, dass die Voraussetzungen für die Erteilung eines humanitären Visums hoch sind und es einer unmittelbaren, ernsthaften und konkreten Gefährdung an Leib und Leben der gesuchstellenden Person bedarf (vgl. dazu E. 5). Zwar kann aufgrund der Akten eine abstrakte, theoretische Gefährdung der Beschwerdeführerin tatsächlich nicht ausgeschlossen werden, das Gericht teilt jedoch die Einschätzung des SEM, dass die Beschwerdeführerin zum derzeitigen Zeitpunkt nicht konkret an Leib und Leben gefährdet ist. So befindet sich (...) auch im heutigen Zeitpunkt noch in Haft und die Beschwerdeführerin hat seit ihrer eigenen Entlassung aus der Haft im (...) keine konkreten Übergriffe mehr geltend gemacht, weder seitens der sri-lanksichen Behörden noch unbekannter Personen, die im (...) einen (...) ausgeübt hätten. Zwar ist die Angst der Beschwerdeführerin nachvollziehbar, auch jene, wie F._______ von einem "weissen Van" entführt zu werden. Dennoch ist insgesamt nicht von einer Gefährdung auszugehen, wie sie von den hier zur Anwendung gelangenden Bestimmungen gefordert ist. Auch auf Beschwerdeebene vermochte die Beschwerdeführerin nämlich keine neuen Ereignisse aufzuzeigen, welche einen anderen Schluss zuliessen. Ein ausschlaggebendes Indiz dafür, dass an der Beschwerdeführerin von Seiten der sri-lankischen Behörden kein aktuelles Interesse im hier geforderten Sinne besteht, ergibt sich aus dem Umstand, dass sie sich innerhalb der letzten Jahre offenbar problemlos zwischen Sri Lanka und G._______ bewegen konnte. Dies belegen mehrere von G._______ ausgestellte Visa, welche sich im Reisepass der Beschwerdeführerin befinden und von welchen sie offenbar zuletzt im Jahr (...) Gebrauch gemacht hat. Unter diesen Umständen ist das SEM zu Recht davon ausgegangen, dass vorliegend keine Notsituation gegeben ist, welche ein behördliches Eingreifen zwingend erforderlich mache. Auf die zutreffenden Ausführungen der Vorinstanz in der Verfügung vom 8. Oktober 2014 sowie in der Vernehmlassung vom 13. Januar 2015 kann verwiesen werden.</w:t>
      </w:r>
    </w:p>
    <w:p>
      <w:r>
        <w:rPr>
          <w:b/>
        </w:rPr>
        <w:t>E. 6.6</w:t>
      </w:r>
    </w:p>
    <w:p>
      <w:r>
        <w:t>Zusammenfassend hat das SEM zu Recht festgestellt, die Voraussetzungen zur Erteilung von Einreisevisa seien nicht erfüllt und dementsprechend die Einsprache abgewiesen.</w:t>
      </w:r>
    </w:p>
    <w:p>
      <w:r>
        <w:rPr>
          <w:b/>
        </w:rPr>
        <w:t>E. 7</w:t>
      </w:r>
    </w:p>
    <w:p>
      <w:r>
        <w:t>Aufgrund der vorstehenden Erwägungen ergibt sich, dass die angefochtene Verfügung Bundesrecht nicht verletzt, den rechtserheblichen Sachverhalt richtig sowie vollständig feststellt und angemessen ist (Art. Art. 49 VwVG). Die Beschwerde ist daher abzuweisen.</w:t>
      </w:r>
    </w:p>
    <w:p>
      <w:r>
        <w:rPr>
          <w:b/>
        </w:rPr>
        <w:t>E. 8</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