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E-7200/2016 vom 29. November 2016</w:t>
      </w:r>
    </w:p>
    <w:p>
      <w:r>
        <w:t>Bundesverwaltungsgericht, 2016-11-29, DE</w:t>
      </w:r>
    </w:p>
    <w:p>
      <w:r>
        <w:rPr>
          <w:b/>
        </w:rPr>
        <w:t xml:space="preserve">Quelle: </w:t>
      </w:r>
      <w:r>
        <w:t>https://mcp.opencaselaw.ch/entscheid/bvger_E-7200_2016</w:t>
      </w:r>
    </w:p>
    <w:p>
      <w:r>
        <w:t>FR: TAF E-7200/2016 du 29 novembre 2016</w:t>
      </w:r>
    </w:p>
    <w:p>
      <w:r>
        <w:t>IT: TAF E-7200/2016 del 29 novembre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Gemäss Art. 18 Abs. 1 Bst. b Dublin-III-VO ist der zuständige Mitgliedstaat verpflichtet, einen Antragsteller, der während der Prüfung seines Antrages in einem anderen Mitgliedstaat einen Antrag gestellt hat, nach Massgabe der Art. 23, 24, 25 und 29 wieder aufzunehmen.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die italienischen Behörden hätten innert Frist zum Übernahmeersuchen der Schweiz keine Stellung genommen. Die Zuständigkeit zur Durchführung des Asyl- und Wegweisungsverfahrens liege somit bei Italien. Die italienischen Behörden seien über ihre Schwangerschaft informiert worden. Sollte das Kind vor der Überstellung geboren werden, werde man Italien entsprechend informieren und sicherstellen, dass die Beschwerdeführerin und ihr Kind in eine geeignete Unterkunft kommen würden. Ansonsten sei sie von der Rechtsprechung bezüglich Familien mit minderjährigen Kindern nicht betroffen. Systemische Mängel gäbe es in Italiens Asyl- und Aufnahmesystem keine. Hinweise, dass die Beschwerdeführerin gravierenden Menschenrechtsverletzungen im Sinne von Art. 3 EMRK ausgesetzt wäre, würden keine vorliegen. Dafür, dass zwischen ihr und ihrem angeblichen Ehemann eine tatsächlich gelebte und dauerhafte Beziehung im Sinne von Art. 8 EMRK vorliege, gebe es keine Anzeichen. Gründe, die Souveränitätsklausel anzuwenden, würden nicht vorliegen.</w:t>
      </w:r>
    </w:p>
    <w:p>
      <w:r>
        <w:rPr>
          <w:b/>
        </w:rPr>
        <w:t>E. 4.2</w:t>
      </w:r>
    </w:p>
    <w:p>
      <w:r>
        <w:t>Aus dem Eurodac-Datenblatt geht hervor, dass die Beschwerdeführerin am 14. Juni 2016 in Italien ein Asylgesuch gestellt hat. Die Vorinstanz ist somit in Anwendung von Art. 18 Abs. 1 Bst. b Dublin-III-VO zutreffend von der grundsätzlichen Zuständigkeit Italiens für die Durchführung des Asyl- und Wegweisungsverfahrens ausgegangen. Eine Anwendung von Art. 16 Dublin-III-VO fällt bereits deshalb ausser Betracht, weil der Ehemann nicht unter die in diesem Artikel taxativ aufgezählten Familienangehörigen fällt.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Zitaten aus dem Bericht der Schweizerischen Flüchtlingshilfe vom August 2016 zu Italien kann die Beschwerdeführerin nichts zu ihren Gunsten ableiten. Unter diesen Umständen ist die Anwendung von Art. 3 Abs. 2 Dublin-III-VO nicht gerechtfertigt.</w:t>
      </w:r>
    </w:p>
    <w:p>
      <w:r>
        <w:rPr>
          <w:b/>
        </w:rPr>
        <w:t>E. 4.3</w:t>
      </w:r>
    </w:p>
    <w:p>
      <w:r>
        <w:t>Die Beschwerdeführerin rügt eine Verletzung von Art. 8 EMRK. Ihr Ehemann lebe in der Schweiz. Ausserdem verletze eine Überstellung Art. 3 EMRK. Gemäss ständiger Rechtsprechung des Bundesgerichts kann sich eine Person auf den Schutz des Familienlebens nach Art. 8 EMRK dann berufen, wenn sie sich auf eine Beziehung zu einer Person mit gefestigtem Aufenthaltsrecht in der Schweiz bezieht (vgl. statt vieler BGE 135 I 143, mit weiteren Hinweisen). Unter dem Aspekt von Art. 17 Dublin-III-VO ist Art. 8 EMRK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 In Übereinstimmung mit den vorinstanzlichen Erwägungen gelangt das Bundesverwaltungsgericht zur Auffassung, dass bei der Beziehung der Beschwerdeführerin zu ihrem angeblichen Ehemann nicht von einer dauerhaften Partnerschaft gesprochen werden kann. Gemäss den Angaben der Beschwerdeführerin habe sie ihren Ehemann im Januar 2015 geheiratet. An der Hochzeit sei ihr Ehemann nicht anwesend gewesen, jedoch mehrere Verwandte von ihm. Sie kenne ihn bereits lange. Er sei sie oft in Ghana besuchen gekommen. Zusammengelebt hätten sie nie (SEM-Akten, A6/12 S. 5 f.). Die Beschwerdeführerin und ihr angeblicher Ehemann haben somit noch nie zusammen gewohnt, führen keinen gemeinsamen Haushalt und sind finanziell nicht verflochten. Unter diesen Umständen kann offensichtlich nicht auf eine gefestigte Beziehung geschlossen werden. Somit kann offen gelassen werden, ob die Ehe zwischen der Beschwerdeführerin und ihrem angeblichen Ehemann gültig geschlossen und amtlich registriert worden ist. Aufgrund der krass widersprüchlichen Aussagen der Beschwerdeführerin und ihres angeblichen Ehemannes ist dies jedoch zu bezweifeln. Die Kriterien der Rechtsprechung für eine Berufung auf Art. 8 EMRK sind ohnehin nicht erfüllt. Nach dem Gesagten ist die Überstellung der Beschwerdeführerin nach Italien mit Art. 8 EMRK vereinbar. Aus den eingereichten Beweismitteln kann die Beschwerdeführerin nichts zu ihren Gunsten ableiten. Weiter liegen keine Anhaltspunkte dafür vor, dass Italien im vorliegenden Fall seine staatsvertraglichen Verpflichtungen missachten würde und die Beschwerdeführerin einer menschenunwürdigen oder erniedrigenden Behandlung ausgesetzt wäre (Art. 3 EMRK). Es besteht somit kein Grund für eine Anwendung der Ermessensklausel von Art. 17 Abs. 1 Dublin-III-VO.</w:t>
      </w:r>
    </w:p>
    <w:p>
      <w:r>
        <w:rPr>
          <w:b/>
        </w:rPr>
        <w:t>E. 4.4</w:t>
      </w:r>
    </w:p>
    <w:p>
      <w:r>
        <w:t>Schliesslich ist festzuhalten, dass der Vorinstanz bei der Anwendung von Art. 17 Dublin-III-VO in Verbindung mit Art. 29a Abs. 3 der Asylverordnung 1 vom 11. August 1999 (AsylV 1, SR 142.311) Ermessen zukommt (vgl. BVGE 2015/9 E. 7 f.) und den Akten keine Hinweise auf eine gesetzeswidrige Ermessensausübung (vgl. Art. 106 Abs. 1 Bst. a AsylG) durch die Vorinstanz zu entnehmen sind.</w:t>
      </w:r>
    </w:p>
    <w:p>
      <w:r>
        <w:rPr>
          <w:b/>
        </w:rPr>
        <w:t>E. 4.5</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Abs. 1 AsylG). Die Beschwerde ist abzuweisen. Das Gesuch um Vollzugsstopp ist mit dem vorliegenden Entscheid gegenstandslos geworden.</w:t>
      </w:r>
    </w:p>
    <w:p>
      <w:r>
        <w:rPr>
          <w:b/>
        </w:rPr>
        <w:t>E. 6.1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