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E-7195/2016 vom 5. Dezember 2016</w:t>
      </w:r>
    </w:p>
    <w:p>
      <w:r>
        <w:t>Bundesverwaltungsgericht, 2016-12-05, DE</w:t>
      </w:r>
    </w:p>
    <w:p>
      <w:r>
        <w:rPr>
          <w:b/>
        </w:rPr>
        <w:t xml:space="preserve">Quelle: </w:t>
      </w:r>
      <w:r>
        <w:t>https://mcp.opencaselaw.ch/entscheid/bvger_E-7195_2016</w:t>
      </w:r>
    </w:p>
    <w:p>
      <w:r>
        <w:t>FR: TAF E-7195/2016 du 5 décembre 2016</w:t>
      </w:r>
    </w:p>
    <w:p>
      <w:r>
        <w:t>IT: TAF E-7195/2016 del 5 dicembre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Direktentscheid in der Hauptsache werden die prozessualen Begehren betreffend Herstellung der aufschiebenden Wirkung und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Der Beschwerdeführer reicht mit seinem Wiedererwägungsgesuch Beweismittel ein, die das Bundesverwaltungsgericht revisionsweise nicht prüfen konnte und an das SEM überwies (vgl. oben Bst. F). Er macht ferner eine nachträglich (seit dem Urteil vom 2. November 2015) veränderte Sachlage in Form eingetretener massiver Verschlechterung seiner psychischen Gesundheit geltend. Das SEM teilt diese Auffassung implizit insoweit, als es diese geltend gemachten nachträglichen Veränderungen im angefochtenen Entscheid tatsächlich und zutreffend als solche prüft. Das Bundesverwaltungsgericht stützt diese übereinstimmende Auffassung ebenfalls.</w:t>
      </w:r>
    </w:p>
    <w:p>
      <w:r>
        <w:rPr>
          <w:b/>
        </w:rPr>
        <w:t>E. 5.2</w:t>
      </w:r>
    </w:p>
    <w:p>
      <w:r>
        <w:t>Nach Prüfung der Akten gelangt das Bundesverwaltungsgericht zur Erkenntnis, dass die Vorinstanz eine seit dem Beschwerdeurteil vom 2. November 2015 eingetretene wiedererwägungsrelevante Veränderung der Sachlage im Sinne einer vollzugshinderlich gewordenen konkreten Gefährdung des Beschwerdeführers zutreffend verneint hat. Auf die betreffenden Erwägungen der Vorinstanz gemäss angefochtener Verfügung kann zur Vermeidung von Wiederholungen verwiesen werden. Diese sind umfassend, hinlänglich abgestützt und überzeugend. Die Beschwerdeschrift drängt keine andere Betrachtungsweise auf. Dabei ist vorab festzustellen, dass weite Teile der Beschwerde praktisch wortwörtlich mit jenen des Wiedererwägungsgesuchs identisch sind und insoweit blosse Wiederholungen und Bekräftigungen von Vorbringen des Wiedererwägungsgesuchs darstellen. Der Beschwerdeführer macht erneut geltend, in der Türkei einer Verfolgung durch die Polizei ausgesetzt zu sein und belegt dies mit Schreiben von Dr. med. E._______ vom 1. Mai 2015 und 30. November 2015. Dabei verkennt der Beschwerdeführer, dass Dr. med. E._______ zur Beurteilung von asylspezifischen Sachverhalten nicht zuständig ist. Sodann verfügt er als Neurologe auch nicht über die dazu erforderliche Fachkompetenz. Dasselbe gilt für Pfarrer F._______ (Schreiben vom 30. November 2015) und G._______ (Schreiben vom 14. Dezember 2015), welche sich in ihren Schreiben für ein Bleiberecht des Beschwerdeführers gestützt auf dessen geltend gemachte Verfolgungsvorbringen eingesetzt hatten. Sodann ist in aller Deutlichkeit festzuhalten, dass die vom Beschwerdeführer geltend gemachten Verfolgungsvorbringen im Rahmen eines rechtskräftig abgeschlossenen, zweistufig durchgeführten ordentlichen Verfahrens mit ausführlicher Begründung als unglaubhaft erkannt und seine geltend gemachte Mitgliedschaft bei der B._______ als nicht asylrelevant beurteilt wurden. Auch der erneut eingereichte Festnahmebefehl wurde ausführlich beurteilt und als Totalfälschung befunden. Überdies wurde durch die Vorinstanz eine Botschaftsabklärung durchgeführt. Der Beschwerdeführer bringt nichts vor, was an der Fälschungsfeststellung etwas ändert. Die Berufung auf die Verfolgungsvorbringen im vorliegenden Wiedererwägungsverfahren stösst deshalb ins Leere und das Gesuch um Veranlassung einer erneuten Botschaftsabklärung ist abzuweisen. Der Beschwerdeführer befindet sich seit dem 10. November 2016 erneut in der psychiatrischen Klinik H._______ (vgl. Schreiben Dr. med. M._______ vom 17. November 2016 und Einlieferungsbestätigung der Klinik H._______ vom 11. November 2016). Dem nachgereichten Zwischenbericht der Klinik vom 18. November 2016 lässt sich entnehmen, dass der Beschwerdeführer freiwillig auf Zuweisung seines ihn ambulant behandelnden Arztes zur Hospitalisation eingetreten sei. Aufgrund des negativen Asylentscheids sei bei ihm eine suizidale Krise ausgelöst worden. Er habe sich jedoch bei Eintritt absprachefähig gezeigt und ein Non-Suizid-Versprechen abgegeben. Im Hinblick auf eine Rückkehr in die Türkei - notfalls eine drohende Ausschaffung - wird es Aufgabe der zuständigen Vollzugsbehörde unter Miteinbezug der psychiatrischen Fachpersonen sein, den Beschwerdeführer in geeigneter Weise vorzubereiten und zu begleiten. Der Beschwerdeführer macht weiter geltend, in der Türkei keine Krankenversicherung zu haben und aufgrund seiner Krankheit nicht arbeiten gehen zu können, weshalb er in seinem Heimatland nicht behandelt werden könne. Seine Ehefrau führte im Rahmen der vorinstanzlichen Anhörung vom 27. September 2016 jedoch aus, sowohl ihre als auch die Familie des Beschwerdeführers würden sich in sehr guten finanziellen Verhältnissen befinden (vgl. SEM-Akten E 13 S. 7). Mit der Vorinstanz ist somit von einer Behandlungsmöglichkeit in der Türkei auszugehen. Eine Behandlung in der Türkei erscheint auch vor dem Hintergrund, dass im Zwischenbericht vom 18. November 2016 eine Weiterführung einer stationären psychiatrisch-psychotherapeutischen Behandlung, am besten in einem transkulturellen psychiatrischen Setting empfohlen wird, als sinnvoll. Zum Vorbringen, ein Wegweisungsvollzug sei infolge des Bürgerkriegs in der Türkei unzumutbar, ist mit der Vorinstanz festzuhalten, dass die Stadt L._______, in welcher der Beschwerdeführer mit seiner Familie gelebt hat, von den gewalttätigen Auseinandersetzungen nicht betroffen ist.</w:t>
      </w:r>
    </w:p>
    <w:p>
      <w:r>
        <w:rPr>
          <w:b/>
        </w:rPr>
        <w:t>E. 5.3</w:t>
      </w:r>
    </w:p>
    <w:p>
      <w:r>
        <w:t>Schliesslich ist festzuhalten, dass eine Wiedererwägung nicht beliebig zulässig ist. Sie darf namentlich nicht dazu dienen, blosse Urteilskritik zu üben, die Rechtskraft von Verwaltungs- und Gerichtsentscheiden immer wieder infrage zu stellen oder die Fristen für die Ergreifung von Rechtsmitteln zu umgehen. Künftige an das Bundesverwaltungsgericht gelangende und auf eine Verhinderung des Wegweisungsvollzugs abzielende Eingaben wären daher unter dem verstärkten Augenmerk eines allfälligen Rechtsmissbrauchs zu betrachten.</w:t>
      </w:r>
    </w:p>
    <w:p>
      <w:r>
        <w:rPr>
          <w:b/>
        </w:rPr>
        <w:t>E. 5.4</w:t>
      </w:r>
    </w:p>
    <w:p>
      <w:r>
        <w:t>Nach dem Gesagten ist zusammenfassend nicht von einer wiedererwägungsrelevanten, erheblichen Veränderung der Sachlage auszugehen. Es erübrigt sich, auf den Inhalt der Beschwerde und die weiteren Beweismittel näher einzugehen. Die Vorinstanz hat das Wiedererwägungsgesuch zu Recht abgewiesen.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