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E-7171/2010 vom 6. Juni 2012</w:t>
      </w:r>
    </w:p>
    <w:p>
      <w:r>
        <w:t>Bundesverwaltungsgericht, 2012-06-06, DE</w:t>
      </w:r>
    </w:p>
    <w:p>
      <w:r>
        <w:rPr>
          <w:b/>
        </w:rPr>
        <w:t xml:space="preserve">Quelle: </w:t>
      </w:r>
      <w:r>
        <w:t>https://mcp.opencaselaw.ch/entscheid/bvger_E-7171_2010</w:t>
      </w:r>
    </w:p>
    <w:p>
      <w:r>
        <w:t>FR: TAF E-7171/2010 du 6 juin 2012</w:t>
      </w:r>
    </w:p>
    <w:p>
      <w:r>
        <w:t>IT: TAF E-7171/2010 del 6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Soweit der Beschwerdeführer in seinen Eingaben rügt, das BFM habe den rechtserheblichen Sachverhalt falsch oder unvollständig festgestellt, seine Begründungspflicht verletzt und damit den Grundsatz der Gewährung des rechtlichen Gehörs verletzt, erweisen sich diese Vorhaltungen als unbegründet: Einerseits ist es hier, wie sich aus den nachfolgenden Erwägungen ergibt, nicht zu beanstanden, dass das BFM davon abgesehen hat, gewisse Sachverhaltselemente durch die Schweizer Botschaft in Jaunde überprüfen zu lassen. Andererseits muss offensichtlich nicht von einer derart knappen und ungenügenden Begründung der angefochtenen Verfügung ausgegangen werden, dass dadurch deren sachgerechte Anfechtung verunmöglicht worden wäre (vgl. etwa EMARK 2006 Nr. 24 E. 5 mit weiteren Hinweisen). Der Hauptantrag des Beschwerdeführers - die Rückweisung der Sache an die Vorinstanz - ist deshalb abzuweisen.</w:t>
      </w:r>
    </w:p>
    <w:p>
      <w:r>
        <w:rPr>
          <w:b/>
        </w:rPr>
        <w:t>E. 5.1</w:t>
      </w:r>
    </w:p>
    <w:p>
      <w:r>
        <w:t>Die Vorinstanz führte zur Begründung ihres ablehnenden Entscheids im Wesentlichen aus, die Vorbringen des Beschwerdeführers enthielten zahlreiche grobe Unstimmigkeiten. Beispielsweise seien die Angaben des Beschwerdeführers zu den Umständen der Flucht vor dem angeblichen Verfolger sowie zum Zeitpunkt des Auszugs aus seinem Haus widersprüchlich. Im Weiteren sei auch nicht nachvollziehbar, wie er nach einem Angriff bei den geltend gemachten erheblichen Verletzungen den Angreifer bis zum Eintreffen der Polizei hätte festhalten können und wieso er ausgerechnet von jenem Täter eine Vorladung hätte ausgehändigt bekommen sollen. Die Vorinstanz bezeichnete die ganze Verfolgungsvorbringen als abenteuerlich und konstruiert anmutend, zumal der angeblich einflussreiche Funktionär, hätte er den Beschwerdeführer tatsächlich wirksam verfolgen wollen, wohl zielgerichteter und effektiver vorgegangen wäre. Die Vorinstanz hielt weiter fest, es würden letztlich viele Einzelheiten zu den asylrelevanten Vorbringen im Dunkeln bleiben, namentlich der tatsächliche Verfolger sowie dessen Verfolgungsmotiv. Die völlig unbelegte Verknüpfung der Übergriffe mit einer asylrelevanten Verfolgung müsse letztlich als reine Mutmassung bezeichnet werden. Insgesamt seien die Asylvorbringen daher als unglaubhaft zu erachten. Die eingereichten Beweismittel hätten überdies einen äusserst geringen Beweiswert, da derartige Dokumente im Heimatland des Beschwerdeführers ohne weiteres unrechtmässig erworben werden könnten.</w:t>
      </w:r>
    </w:p>
    <w:p>
      <w:r>
        <w:rPr>
          <w:b/>
        </w:rPr>
        <w:t>E. 5.2</w:t>
      </w:r>
    </w:p>
    <w:p>
      <w:r>
        <w:t>In seiner Rechtsmitteleingabe wiederholt der Beschwerdeführer zunächst seine Asylvorbringen und fordert, wie erwähnt, vorab die Rückweisung der Sache an die Vorinstanz zur Vervollständigung des rechtserheblichen Sachverhalts (vgl. Beschwerde S. 3 ff.). Mit Bezug auf die Erwägungen der Vorinstanz bestreitet der Beschwerdeführer, einen konstruierten Sachverhalt vorgebracht sowie widersprüchliche und realitätsfremde Angaben gemacht zu haben (vgl. Beschwerde S. 7 ff.). So sei die Schilderung des Abends beim RDPC-Funktionär präzise und detailreich. Unter welchem Vorwand sich der Beschwerdeführer ins Badezimmer begeben habe, sei wohl kaum von Belang (vgl. Beschwerde S. 7). Der Beschwerdeführer sei entgegen der Annahme des BFM nicht erst nach dem Brand aus seinem Haus ausgezogen, sondern habe seit dem Einbruch vom (...) 2007 nicht mehr dort gelebt, weshalb diesbezüglich gar kein Aussagewiderspruch gegeben sei (vgl. a.a.O.). Dass die polizeiliche Vorladung dem Beschwerdeführer von seinem Angreifer ausgehändigt und das Opfer des Übergriffs zuerst als Täter behandelt worden sei, erscheine zwar auf den ersten Blick tatsächlich nicht als nachvollziehbar; immerhin habe aber ja der Anwalt des Beschwerdeführers die Frage der Täter- und Opferrolle schliesslich aufklären können (vgl. Beschwerde S. 8). Dass der Beschwerdeführer trotz erheblicher Verletzungen seinen Angreifer habe festhalten können, sei deshalb nachvollziehbar, weil die Polizei dank schneller Alarmierung sehr rasch vor Ort gewesen sei. In diesem Zusammenhang sei auch der vom Beschwerdeführer eingereichte Arztbericht zu sehen (vgl. a.a.O.). Aufgrund der gesamten Umstände sei davon auszugehen, dass sowohl der Überfall als auch der Brandanschlag von Männern von B._______ verübt worden seien, weshalb durchaus eine direkte und konkrete Verfolgung vorliege (vgl. a.a.O.). Schliesslich führt der Beschwerdeführer aus, falls gewisse Punkte im Dunkeln geblieben seien, wäre dies jedenfalls nicht ihm anzulasten, nachdem er seiner Mitwirkungspflicht vollumfänglich nachgekommen sei und insbesondere zahlreiche Belege, namentlich eine Vorladung, für die Richtigkeit seiner Vorbringen besorgt und zu den Akten gereicht habe (vgl. Beschwerde S. 8 f.). Schliesslich hält der Beschwerdeführer fest, die asylrechtliche Relevanz seiner Vorbringen sei zweifellos gegeben; die Verfolgung sei politisch motiviert, und im Falle einer Rückkehr sei eine erneute Bedrohung durch seinen Verfolger zu befürchten. Aufgrund dessen Einfluss könne er nicht auf den Schutz der Behörden zählen; diese habe er denn auch vergebens zur Aufklärung und Ahndung des an ihm begangenen Unrechts zu bewegen versucht (vgl. Beschwerde S. 9 f.).</w:t>
      </w:r>
    </w:p>
    <w:p>
      <w:r>
        <w:rPr>
          <w:b/>
        </w:rPr>
        <w:t>E. 6.1</w:t>
      </w:r>
    </w:p>
    <w:p>
      <w:r>
        <w:t>Das Gericht ist der Auffassung, dass die vorinstanzlichen Verfügung im Wesentlichen überzeugend begründet ist. Nach Durchsicht der Akten, insbesondere der (insgesamt vier) Befragungsprotokolle hinterlassen die von Ungereimtheiten geprägten Asylvorbringen des Beschwerdeführers in der Tat einen unlogischen, konstruierten und lebensfremden Eindruck. Die Vorstellung, ein hochrangiger Politiker würde einem Handwerker, weil dieser seine sexuellen Avancen ablehnt, mehrere wertvolle Gegenstände stehlen und auf diesen einen Raubüberfall durchführen (lassen), muss als geradezu grotesk bezeichnet werden. Dies umso mehr angesichts der bekanntermassen schwierigen Situation von Homosexuellen in Kamerun sowie der Hetzkampagnen kamerunischer Boulevardblätter gegen prominente Angehörige dieser sozialen Gruppe - insbesondere vermeintliche homosexuelle Politiker - vor einigen Jahren (vgl. Alexandra Geiser, Schweizerische Flüchtlingshilfe [SFH], Kamerun: Situation von Homosexuellen, Bern, 6. Oktober 2009, S. 2 ff.; Martina Gerber, Michael Kirschner / SFH, Kamerun: Gefährdung von Homosexuellen, Bern, 14. März 2007).</w:t>
      </w:r>
    </w:p>
    <w:p>
      <w:r>
        <w:rPr>
          <w:b/>
        </w:rPr>
        <w:t>E. 6.2</w:t>
      </w:r>
    </w:p>
    <w:p>
      <w:r>
        <w:t>Letztlich kann indessen - wie bereits in der Instruktionsverfügung vom 8. November 2011 angekündigt - auf eine inhaltliche Auseinandersetzung mit den einzelnen Unglaubhaftigkeitsindizien (und den Gegenargumenten des Beschwerdeführers) verzichtet werden:</w:t>
      </w:r>
    </w:p>
    <w:p>
      <w:r>
        <w:rPr>
          <w:b/>
        </w:rPr>
        <w:t>E. 6.2.1</w:t>
      </w:r>
    </w:p>
    <w:p>
      <w:r>
        <w:t>Entgegen den Äusserungen in der Beschwerde (vgl. dort S. 9) ergeben sich aus den Akten bei Annahme der Richtigkeit der protokollierten Aussagen keinerlei Hinweise auf eine politische Verfolgungsmotivation oder einen der anderen in Art. 3 Abs. 1 AsylG genannten Gründe (Rasse, Religion, Nationalität, Zugehörigkeit zu einer bestimmten sozialen Gruppe). Vielmehr hätte der prominente Verfolger gemäss Angaben des Beschwerdeführers versucht, diesen zur Aufnahme einer homosexuellen Beziehung zu zwingen oder sich allenfalls aufgrund der Weigerung des Beschwerdeführers an diesem rächen wollen. Derartige, von höchst privaten Beweggründen bestimmte Verfolgungshandlungen sind in flüchtlingsrechtlicher Hinsicht von vornherein irrelevant.</w:t>
      </w:r>
    </w:p>
    <w:p>
      <w:r>
        <w:rPr>
          <w:b/>
        </w:rPr>
        <w:t>E. 6.2.2</w:t>
      </w:r>
    </w:p>
    <w:p>
      <w:r>
        <w:t>Hinzu kommt, gemäss der so genannten Schutztheorie die Flüchtlingseigenschaft nicht erfüllt, wer in seinem Heimatland Schutz vor nichtstaatlicher Verfolgung finden kann (vgl. zum Ganzen Entscheidungen und Mitteilungen der vormaligen Schweizerischen Asylrekurskommission [EMARK] 2006 Nr. 18 S. 183 ff.). Aufgrund der Akten kann davon ausgegangen werden, dass es dem Beschwerdeführer möglich und zuzumuten wäre, sich in seinem Heimatland um Schutz vor den privaten Nachstellungen zu bemühen, nötigenfalls mit Hilfe eines Rechtsanwalts. In diesem Zusammenhang kann erneut auf die bereits erwähnte länderspezifische Situation hingewiesen, in welcher die Opfer homosexueller Übergriffe zweifellos grösstes Verständnis der staatlichen Behörden erwarten dürfen.</w:t>
      </w:r>
    </w:p>
    <w:p>
      <w:r>
        <w:rPr>
          <w:b/>
        </w:rPr>
        <w:t>E. 6.2.3</w:t>
      </w:r>
    </w:p>
    <w:p>
      <w:r>
        <w:t>Schliesslich ist der Vollständigkeit halber festzuhalten, dass es dem Beschwerdeführer wohl auch möglich und zumutbar (gewesen) wäre, sich den angeblichen Übergriffen durch einen homosexuellen Politiker durch Umzug in einen andern Teil seines grossen Heimatstaats zu entziehen.</w:t>
      </w:r>
    </w:p>
    <w:p>
      <w:r>
        <w:rPr>
          <w:b/>
        </w:rPr>
        <w:t>E. 6.3</w:t>
      </w:r>
    </w:p>
    <w:p>
      <w:r>
        <w:t>Aufgrund dieser Erwägungen erübrigt es sich, auf die weiteren Ausführungen in den Eingaben des Beschwerdeführers und auf die von ihm eingereichten Beweismittel einzugehen, weil sie am Ergebnis nichts zu ändern vermögen.</w:t>
      </w:r>
    </w:p>
    <w:p>
      <w:r>
        <w:rPr>
          <w:b/>
        </w:rPr>
        <w:t>E. 6.4</w:t>
      </w:r>
    </w:p>
    <w:p>
      <w:r>
        <w:t>Zusammenfassend ist festzuhalten, dass der Beschwerdeführer keine Gründe nach Art. 3 AsylG nachweisen oder glaubhaft machen konnte. Das BFM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hat am 15. Juni 2011 eine Kamerunerin geheiratet, die in der Schweiz offenbar über eine Niederlassungsbewilligung verfügt. Am 5. August 2011 hat er beim Kanton C._______ ein Gesuch um Erteilung einer ordentlichen Aufenthaltsbewilligung gestellt.</w:t>
      </w:r>
    </w:p>
    <w:p>
      <w:r>
        <w:rPr>
          <w:b/>
        </w:rPr>
        <w:t>E. 7.2.1</w:t>
      </w:r>
    </w:p>
    <w:p>
      <w:r>
        <w:t>Die sich aus der Eheschliessung allenfalls ergebenden Rechtsansprüche des Beschwerdeführers sind bei dieser Sachlage im Rahmen der ausländerrechtlichen Gesetzesbestimmungen und durch die zuständigen kantonalen Behörden zu prüfen und zu würdigen (vgl. zu Ganzen auch EMARK 2001 Nr. 21 S. 172 ff.).</w:t>
      </w:r>
    </w:p>
    <w:p>
      <w:r>
        <w:rPr>
          <w:b/>
        </w:rPr>
        <w:t>E. 7.2.2</w:t>
      </w:r>
    </w:p>
    <w:p>
      <w:r>
        <w:t>Den Akten ist zu entnehmen, dass das kantonale Migrationsamt das Gesuch des Beschwerdeführers mit Verfügung vom 21. Dezember 2011 abgewiesen hat. Dieser Entscheid wurde damit begründet, dass die Eheleute ohne nachvollziehbaren Grund ein halbes Jahr nach der Eheschliessung immer noch keinen gemeinsamen Wohnsitz aufgenommen hätten.</w:t>
      </w:r>
    </w:p>
    <w:p>
      <w:r>
        <w:rPr>
          <w:b/>
        </w:rPr>
        <w:t>E. 7.2.3</w:t>
      </w:r>
    </w:p>
    <w:p>
      <w:r>
        <w:t>Unter diesen Umständen beschränkt sich das Bundesverwaltungsgericht im Rahmen des vorliegenden Verfahrens praxisgemäss auf die Feststellung, dass vorliegend heute keine der in Art. 32 der Asylverordnung 1 über Verfahrensfragen (AsylV 1, SR 142.311) genannten Voraussetzungen für den Verzicht auf die Anordnung der Wegweisung gemäss Art. 44 Abs. 1 AsylG (nämlich: gültige Aufenthalts- oder Niederlassungsbewilligung, Auslieferungsverfügung oder Wegweisungsverfügung nach Artikel 121 der Bundesverfassung der Schweizerischen Eidgenossenschaft vom 18. April 1999 [BV, SR 101]) erfüllt sind.</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8.2.3</w:t>
      </w:r>
    </w:p>
    <w:p>
      <w:r>
        <w:t>Gemäss Art. 8 EMRK hat jede Person unter anderem das Recht auf Achtung ihres Familienlebens (Art. 8 Abs. 1 EMRK);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nach dem oben zum Asylpunkt Gesagten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8.3.3</w:t>
      </w:r>
    </w:p>
    <w:p>
      <w:r>
        <w:t>Nachdem der Beschwerdeführer bereits ein Gesuch um Erteilung einer Aufenthaltsbewilligung bei der zuständigen kantonalen Behörde gestellt hat, ist auch die Zuständigkeit für die Prüfung allfälliger Ansprüche aus Art. 8 EMRK an die befassten kantonalen Organe übergegangen. Immerhin kann an dieser Stelle darauf hingewiesen werden, dass der Beschwerdeführer und seine Ehefrau offenbar nach wie vor getrennte Wohnsitze (in D._______ und C._______) begründen und auch der Schutzbereich der erwähnten EMRK-Bestimmung nur tatsächlich gelebte familiäre Beziehungen umfasst (vgl. etwa BGE 135 I 143 E. 3 mit weiteren Hinweisen). Unter diesen Umständen kann im Rahmen des vorliegenden Verfahrens auch offen bleiben, ob es der Ehefrau des Beschwerdeführers möglich und zuzumuten wäre, mit ihrem Gatten in das gemeinsame Heimatland zurückzukehren, um ein (allenfalls gewünschtes) Familienleben auf diese Weise auszuüben.</w:t>
      </w:r>
    </w:p>
    <w:p>
      <w:r>
        <w:rPr>
          <w:b/>
        </w:rPr>
        <w:t>E. 8.4</w:t>
      </w:r>
    </w:p>
    <w:p>
      <w:r>
        <w:t>Der Vollzug der Wegweisung ist nach dem Gesagten sowohl im Sinn der asyl- als auch der völkerrechtlichen Bestimmungen zulässig.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Eine Situation, welche den Beschwerdeführer als "Gewalt-oder de-facto-Flüchtling" qualifizieren würde, lässt sich aufgrund der heutigen Situation in Kamerun nicht bestätigen. Nach dem oben Gesagten ist nicht davon auszugehen, dass der Beschwerdeführer nach der Rückkehr in seinen Heimatstaat einer Gefährdung ausgesetzt wäre. Es steht dem relativ jungen und - soweit den Akten zu entnehmen ist - gesunden Beschwerdeführer offen und ist ihm zuzumuten, sich wieder in Kamerun niederzulassen. Angesichts seiner beruflichen Ausbildung und seiner Berufserfahrung wird es ihm möglich sein, sich im Heimatland wieder eine Existenz aufzubauen.</w:t>
      </w:r>
    </w:p>
    <w:p>
      <w:r>
        <w:rPr>
          <w:b/>
        </w:rPr>
        <w:t>E. 8.5.2</w:t>
      </w:r>
    </w:p>
    <w:p>
      <w:r>
        <w:t>Nach dem Gesagten erweist sich der Vollzug der Wegweisung auch als zumutbar.</w:t>
      </w:r>
    </w:p>
    <w:p>
      <w:r>
        <w:rPr>
          <w:b/>
        </w:rPr>
        <w:t>E. 8.6</w:t>
      </w:r>
    </w:p>
    <w:p>
      <w:r>
        <w:t>Schliesslich obliegt es dem Beschwerdeführer, sich bei der zuständigen Vertretung des Heimatstaates die für eine Rückkehr allenfalls erforderlichen Reisedokumente zu beschaffen (vgl. Art. 8 Abs. 4 AsylG und dazu auch BVGE 2008/34 E. 12 S. 513 ff.), weshalb der Vollzug der Wegweisung auch als möglich zu bezeichnen ist (Art. 83 Abs. 2 AuG).</w:t>
      </w:r>
    </w:p>
    <w:p>
      <w:r>
        <w:rPr>
          <w:b/>
        </w:rPr>
        <w:t>E. 8.7</w:t>
      </w:r>
    </w:p>
    <w:p>
      <w:r>
        <w:t>Zusammenfassend hat die Vorinstanz den Wegweisungsvollzug zu Recht als zulässig, zumutbar und möglich bezeichnet. Die Anordnung einer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von insgesamt Fr. 600.- dem Beschwerde­führer aufzuerlegen (Art. 63 Abs. 1 VwVG, Art. 1-3 des Reglements vom 21. Februar 2008 über die Kosten und Entschädigungen vor dem Bundesverwaltungsgericht [VGKE, SR 173.320.2]). Sie sind mit dem in gleicher Höhe geleisteten Vorschuss zu verrechnen und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