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E-7167/2017 vom 29. März 2018</w:t>
      </w:r>
    </w:p>
    <w:p>
      <w:r>
        <w:t>Bundesverwaltungsgericht, 2018-03-29, FR</w:t>
      </w:r>
    </w:p>
    <w:p>
      <w:r>
        <w:rPr>
          <w:b/>
        </w:rPr>
        <w:t xml:space="preserve">Quelle: </w:t>
      </w:r>
      <w:r>
        <w:t>https://mcp.opencaselaw.ch/entscheid/bvger_E-7167_2017</w:t>
      </w:r>
    </w:p>
    <w:p>
      <w:r>
        <w:t>FR: TAF E-7167/2017 du 29 mars 2018</w:t>
      </w:r>
    </w:p>
    <w:p>
      <w:r>
        <w:t>IT: TAF E-7167/2017 del 29 marzo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le rapport médical faisant état du diabète de type II, daté du (...) novembre 2016, est antérieur de plus de trente jours au dépôt de la demande de réexamen ; il en ressort, par ailleurs, que le traitement a commencé en octobre 2015, soit plus d'un an auparavant. Le motif de réexamen soulevé devrait donc avoir été tenu par le SEM pour irrecevable. Cependant, le second rapport, du (...) décembre 2016, rédigé par le même thérapeute en termes très proches, pose en outre le diagnostic d'état dépressif, et indique que le traitement de cette affection a commencé deux semaines plus tôt. Le délai fixé à l'art. 111b al. 1 LAsi se trouve ainsi respecté. Dans cette mesure, le Tribunal considère, par économie de procédure, qu'il y a lieu de se prononcer sur le fond de la requête de réexamen, en laissant indécise la question de sa recevabilité.</w:t>
      </w:r>
    </w:p>
    <w:p>
      <w:r>
        <w:rPr>
          <w:b/>
        </w:rPr>
        <w:t>E. 3.2</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les troubles de santé invoqués par le recourant sont postérieurs de plusieurs années à la décision du SEM, comme à l'arrêt du Tribunal ; ils sont donc incontestablement nouveaux. En revanche, aucun indice ne permet d'admettre que sa situation de famille, celle de ses proches, les ressources à sa disposition et l'absence d'un soutien familial en cas de retour constituent des éléments nouveaux ; ces différents points, en effet, ont été évoqués après le dépôt de la demande d'asile et étaient déjà connus au moment de la clôture de la procédure ordinaire.</w:t>
      </w:r>
    </w:p>
    <w:p>
      <w:r>
        <w:rPr>
          <w:b/>
        </w:rPr>
        <w:t>E. 3.4</w:t>
      </w:r>
    </w:p>
    <w:p>
      <w:r>
        <w:t>S'agissant de la pertinence des affections touchant l'intéressé, le Tribunal rappelle que l'exécution du renvoi des personnes en traitement médical en Suisse n'est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 81 s. et 87). En revanche,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2011/50 consid. 8.3 ; 2009/2 consid. 9.3.2). Ainsi,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JICRA 2003 n° 24 consid. 5b).</w:t>
      </w:r>
    </w:p>
    <w:p>
      <w:r>
        <w:rPr>
          <w:b/>
        </w:rPr>
        <w:t>E. 3.5</w:t>
      </w:r>
    </w:p>
    <w:p>
      <w:r>
        <w:t>En l'espèce, force est de constater que l'état de santé du recourant n'est pas à ce point grave et aigu que sa capacité de survie serait compromise, de manière concrète et immédiate, dans le cas d'un retour au Nigéria. S'agissant plus spécialement de l'état dépressif dont souffre l'intéressé, le Tribunal retient que les soins qui lui sont nécessaires sont disponibles au Nigéria, en particulier à Lagos ; la ville se trouve peu éloignée de la province du Delta, dont il est originaire. Malgré un manque de spécialistes et d'infrastructures, ainsi qu'un standard de soins qui n'est pas équivalent à celui qui prévaut en Suisse, toutes les maladies psychiques peuvent en principe être traitées dans les hôpitaux gouvernementaux sis dans plusieurs grandes villes du pays. Ainsi, il est notoire qu'il existe dans le pays d'origine du recourant trente-cinq hôpitaux psychiatriques ou départements de psychiatrie, dont huit hôpitaux neuropsychiatriques fédéraux et six cliniques gérées par les Etats fédéraux. Quelques cliniques privées sont également spécialisées dans les traitements psychiatriques. Tous ces établissements sont en principe capables de prendre en charge toutes les maladies psychiatriques, incluant les dépressions sévères, la paranoïa, l'état de stress post-traumatique, la schizophrénie et les autres troubles psychotiques. Quant à l'accès aux soins, il faut préciser que les traitements dans certains hôpitaux gouvernementaux sont gratuits, alors que les médicaments sont à la charge des patients. Des solutions peuvent toutefois être trouvées lorsque le patient n'a pas suffisamment de moyens financiers par le biais d'une "Social Welfare Unit", d'un arrangement avec l'hôpital ou d'une "association des amis de l'hôpital" (cf. l'arrêt du Tribunal D-7383/2016 du 11 octobre 2017, consid 8.2 et les réf. citées ; Organisation suisse d'aide aux réfugiés [OSAR], Nigéria : soins psychiatriques, janvier 2014 ; idem, Nigéria : traitement des maladies psychiques, novembre 2017). Le Tribunal est certes conscient des risques d'aggravation de l'état de santé psychique de l'intéressé, en réaction à une décision négative et au stress lié à un renvoi au Nigéria. Le cas échéant, il appartiendra à ses thérapeutes de le préparer à la perspective d'un retour et aux autorités d'exécution de vérifier si son état requiert des mesures particulières lors de l'organisation du renvoi.</w:t>
      </w:r>
    </w:p>
    <w:p>
      <w:r>
        <w:rPr>
          <w:b/>
        </w:rPr>
        <w:t>E. 3.6</w:t>
      </w:r>
    </w:p>
    <w:p>
      <w:r>
        <w:t>Quant au diabète, la Metformin (principe actif du médicament pris actuellement par l'intéressé) est disponible au Nigéria, où le traitement de cette affection peut être assuré, fût-ce dans de moins bonnes conditions qu'en Suisse (cf. Annals of Global Health, Diabetes Care in Nigeria, p. 821-829, novembre-décembre 2015, in https://www.sciencedirect.com/science /article/pii/S2214999615013090, consulté le 28 mars 2018). S'agissant des coûts du traitement, ceux-ci pourront être pris en charge, dans un premier temps, par la voie d'une aide au retour (cf. art. 93 al. 1 let. d LAsi et art. 75 de l'ordonnance 2 du 11 août 1999 sur l'asile relative au financement [OA 2, RS 142.312]). Enfin comme l'a relevé le SEM, la bonne intégration du recourant est sans pertinence en l'espèce.</w:t>
      </w:r>
    </w:p>
    <w:p>
      <w:r>
        <w:rPr>
          <w:b/>
        </w:rPr>
        <w:t>E. 3.7</w:t>
      </w:r>
    </w:p>
    <w:p>
      <w:r>
        <w:t>Il s'ensuit que le recours, en tant qu'il conteste le rejet de la demande de réexamen, doit être rejeté.</w:t>
      </w:r>
    </w:p>
    <w:p>
      <w:r>
        <w:rPr>
          <w:b/>
        </w:rPr>
        <w:t>E. 4</w:t>
      </w:r>
    </w:p>
    <w:p>
      <w:r>
        <w:t>Le Tribunal fait droit à la demande du recourant et admet la requête d'assistance judiciaire partielle, compte tenu de son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