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E-7166/2017 vom 6. Februar 2019</w:t>
      </w:r>
    </w:p>
    <w:p>
      <w:r>
        <w:t>Bundesverwaltungsgericht, 2019-02-06, DE</w:t>
      </w:r>
    </w:p>
    <w:p>
      <w:r>
        <w:rPr>
          <w:b/>
        </w:rPr>
        <w:t xml:space="preserve">Quelle: </w:t>
      </w:r>
      <w:r>
        <w:t>https://mcp.opencaselaw.ch/entscheid/bvger_E-7166_2017</w:t>
      </w:r>
    </w:p>
    <w:p>
      <w:r>
        <w:t>FR: TAF E-7166/2017 du 6 février 2019</w:t>
      </w:r>
    </w:p>
    <w:p>
      <w:r>
        <w:t>IT: TAF E-7166/2017 del 6 febbraio 2019</w:t>
      </w:r>
    </w:p>
    <w:p>
      <w:pPr>
        <w:pStyle w:val="Heading2"/>
      </w:pPr>
      <w:r>
        <w:t>Regeste</w:t>
      </w:r>
    </w:p>
    <w:p>
      <w:r>
        <w:t>Erteilung der vorläufigen Aufnahme</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Die Beschwerdeführerin verlangt sinngemäss einzig die Feststellung der Unmöglichkeit des Vollzugs der Wegweisung beziehungsweise die Prüfung von Wegweisungsvollzugshindernissen.</w:t>
      </w:r>
    </w:p>
    <w:p>
      <w:r>
        <w:rPr>
          <w:b/>
        </w:rPr>
        <w:t>E. 4.2</w:t>
      </w:r>
    </w:p>
    <w:p>
      <w:r>
        <w:t>Das SEM regelt das Anwesenheitsverhältnis nach den gesetzlichen Bestimmungen über die vorläufige Aufnahme von Ausländern, sofern der Vollzug der Wegweisung nicht zulässig, nicht zumutbar oder nicht möglich ist (Art. 44 Abs. 2 AsylG; Art. 83 Abs. 1 des Bundesgesetzes vom 16. Dezember 2005 über die Ausländerinnen und Ausländer [AIG, SR 142.20]). Der Vollzug ist nicht möglich, wenn die ausländische Person nicht in den Heimat-, den Herkunfts- oder in einen Drittstaat ausreisen oder nicht dorthin gebracht werden kann (Art. 83 Abs. 2 AIG).</w:t>
      </w:r>
    </w:p>
    <w:p>
      <w:r>
        <w:rPr>
          <w:b/>
        </w:rPr>
        <w:t>E. 4.3</w:t>
      </w:r>
    </w:p>
    <w:p>
      <w:r>
        <w:t>Ist der Vollzug der Wegweisung aufgrund fehlender Transportmöglichkeiten, oder weil keine Reisedokumente beschafft werden können, nicht möglich, kann die kantonale Migrationsbehörde die vorläufige Aufnahme beantragen (Artikel 17 der Verordnung über den Vollzug der Weg- und Ausweisung sowie der Landesverweisung von ausländischen Personen [VVWAL]; SR 142.281). Die vorläufige Aufnahme wird indessen nicht verfügt, wenn der Vollzug der Wegweisung aufgrund des Verhaltens der weg-gewiesenen Person nicht möglich ist (Artikel 83 Abs. 7 Bst. c AIG). Falls eine Person bei der Beschaffung von Reisedokumenten nicht mitwirkt oder sich weigert, selbständig bei der heimatlichen Vertretung um gültige Reisedokumente zu ersuchen, wird sie von der vorläufigen Aufnahme ausgeschlossen, da sie die Unmöglichkeit des Vollzugs der Weg- oder Ausweisung durch ihr eigenes Verhalten verursacht hat.</w:t>
      </w:r>
    </w:p>
    <w:p>
      <w:r>
        <w:rPr>
          <w:b/>
        </w:rPr>
        <w:t>E. 4.4</w:t>
      </w:r>
    </w:p>
    <w:p>
      <w:r>
        <w:t>Diese Sichtweise entspricht auch der verwaltungsrechtlichen Praxis, wonach der Adressat oder die Adressatin einer rechtskräftigen Verfügung primär verpflichtet ist, selbst dieser Verfügung nachzukommen. Die behördliche Vollstreckung (vgl. Art. 39 ff. VwVG) gilt als "Ultima ratio", falls die betroffene Person ihrer Verpflichtung nicht nachkommt. Unterbleibt aus irgendwelchen Gründen die behördliche Vollstreckung oder ist sie nicht möglich, so entbindet das die Verfügungsadressaten nicht von ihrer Rechtspflicht, die Verfügung zu befolgen. Dies gilt auch betreffend das Wegweisungsverfahren. Eine die Beschwerdeführerin begünstigende Rechtsfolge kann gemäss Bundesgericht (BGE 138 I 246 E. 3.3.4) nur dann eintreten, wenn sowohl die behördliche Ausschaffung als auch ihre selbständige Rückkehr aus nicht von ihr zu vertretenden Gründen unmöglich sind. Eine solche Unmöglichkeit wird in der Regel angenommen, wenn der Vollzug auch bei gesicherter Kenntnis der Identität oder der Nationalität der betroffenen Person beziehungsweise trotz ihres Mitwirkens bei der Papierbeschaffung mit grosser Wahrscheinlichkeit als ausgeschlossen erscheint (vgl. die Beispiele in den Urteilen 2C_252/2008 vom 10. Juni 2008 E. 2.2; 6B_85/2007 vom 3. Juli 2007 E. 2.2). Solange eine selbständige Rückkehr möglich ist, kann nicht davon gesprochen werden, die faktische Anwesenheit müsse im Sinne von BGE 138 I 246 E. 3.3.1 "aus objektiven Gründen hingenommen werden". Anders zu entscheiden, würde bedeuten, dass eine Person, die bewusst ihre gesetzlichen Pflichten missachtet, besser gestellt wird als eine Person, die sich rechtsgetreu verhalten hat. Eine solche Konsequenz wäre mit dem Rechtsgleichheitsgebot (Art. 8 Abs. 1 BV) unvereinbar (vgl. BGE 141 I 78 E. 9.4 und 9.5 S. 92 ff.).</w:t>
      </w:r>
    </w:p>
    <w:p>
      <w:r>
        <w:rPr>
          <w:b/>
        </w:rPr>
        <w:t>E. 4.5</w:t>
      </w:r>
    </w:p>
    <w:p>
      <w:r>
        <w:t>Diese Ausführungen treffen auch auf den vorliegenden Fall zu. Die Beschwerdeführerin hat sich nicht um die Beschaffung von Reisepapieren bemüht. Dass sie bei der nepalesischen und der indischen Botschaft vorgesprochen hat, stellt lediglich eine Behauptung ihrerseits dar, welche nicht durch schriftliche Beweise belegt ist. Auch die eingereichten Fotografien, welche die Beschwerdeführerin vor den jeweiligen Botschaften zeigen, vermögen daran nichts zu ändern. Sie hat ihre Identität bis heute nicht offen gelegt.</w:t>
      </w:r>
    </w:p>
    <w:p>
      <w:r>
        <w:rPr>
          <w:b/>
        </w:rPr>
        <w:t>E. 4.6</w:t>
      </w:r>
    </w:p>
    <w:p>
      <w:r>
        <w:t>Gemäss der im Grundsatzurteil BVGE 2014/12 dargestellten Praxis, geht das Bundesverwaltungsgericht davon aus, dass für Angehörige der tibetischen Ethnie - bei welchen die Sozialisierung aller Wahrscheinlichkeit nicht in Tibet, sondern in Nepal oder Indien stattgefunden hat - sowohl in Nepal als auch in Indien die Möglichkeit besteht, unter gewissen Bedingungen eine Aufenthaltsbewilligung zu erhalten, beziehungsweise dass es unter engen Voraussetzungen auch möglich ist, die entsprechende Staatsangehörigkeit zu erwerben, womit die chinesische Staatsangehörigkeit durch den Erwerb einer neuen Staatsangehörigkeit wegfällt. Daneben muss aber davon ausgegangen werden, dass ein grosser Teil der in Nepal und Indien lebenden Exil-Tibeterinnen und -Tibeter keine neue Staatsangehörigkeit erworben haben und nach wie vor die chinesische Staatsangehörigkeit besitzen. Das Grundsatzurteil beschreibt die entsprechenden Varianten (E. 5.8).</w:t>
      </w:r>
    </w:p>
    <w:p>
      <w:r>
        <w:rPr>
          <w:b/>
        </w:rPr>
        <w:t>E. 4.7</w:t>
      </w:r>
    </w:p>
    <w:p>
      <w:r>
        <w:t>Auch die Beschwerdeführerin ist - wie der Beschwerdeführer im Grundsatzurteil BVGE 2014/12 - unbestrittenermassen tibetischer Ethnie und auch sie hatte im Asylverfahren unglaubhafte Angaben zu ihrer Sozialisierung, zu ihrer Herkunft und zu ihren bisherigen Aufenthaltsorten vor der Einreise in die Schweiz gemacht. Aufgrund dieser unglaubhaften Angaben konnte seitens der Asylbehörden nicht eruiert werden, welche der in BVGE 2014/12 E. 5.8 genannten Fallkonstellationen auf sie zutrifft.</w:t>
      </w:r>
    </w:p>
    <w:p>
      <w:r>
        <w:rPr>
          <w:b/>
        </w:rPr>
        <w:t>E. 4.8</w:t>
      </w:r>
    </w:p>
    <w:p>
      <w:r>
        <w:t>Die Abklärungspflicht der Asylbehörden findet ihre Grenze an der Mitwirkungspflicht der asylsuchenden Person. Vorliegend verunmöglicht die Beschwerdeführerin durch die Verletzung ihrer Mitwirkungspflicht die Abklärung, welchen effektiven Status sie in Nepal respektive in Indien innehat oder -hatte, beziehungsweise die Prüfung, welche Staatsangehörigkeit sie besitzt. Die Beschwerdeführerin hat durch die Verheimlichung respektive Verschleierung ihrer wahren Herkunft die ihr obliegende Mitwirkungspflicht verletzt. Sie hat die Folgen ihrer fehlenden Mitwirkung insofern zu tragen, als seitens der Asylbehörden der Schluss gezogen werden muss, es spreche nichts gegen eine Rückkehr an den bisherigen Aufenthaltsort, da sie keine konkreten, glaubhaften Hinweise geliefert hat, die gegen eine entsprechende Rückkehr sprechen würden.</w:t>
      </w:r>
    </w:p>
    <w:p>
      <w:r>
        <w:rPr>
          <w:b/>
        </w:rPr>
        <w:t>E. 4.9</w:t>
      </w:r>
    </w:p>
    <w:p>
      <w:r>
        <w:t>Aus diesem Grund ist ihre Rückkehr als möglich zu bezeichnen, da es bei dieser Ausgangslage zwar den Vollzugsbehörden unmöglich ist, für sie entsprechende Reisepapiere zu beschaffen, dies aber nicht für sie persönlich gilt, da ihr eine individuelle und eigenständige Rückreise in das Land ihres letzten Aufenthalts beziehungsweise ihrer Herkunft möglich sein dürfte. Die Beschwerdeführerin hat jedenfalls nichts substantiiert vorgetragen, was darauf schliessen liesse, eine Rückkehr nach Nepal oder Indien könnte für sie nicht möglich, zumutbar oder zulässig sein. Ihre Vorbringen erschöpfen sich in pauschalen Aussagen, die sie bereits im Asylverfahren vorbrachte. Sie kann daher aus der faktischen Vollzugsunmöglichkeit einer Zwangsrückführung nichts für sich ableiten.</w:t>
      </w:r>
    </w:p>
    <w:p>
      <w:r>
        <w:rPr>
          <w:b/>
        </w:rPr>
        <w:t>E. 5.1</w:t>
      </w:r>
    </w:p>
    <w:p>
      <w:r>
        <w:t>Schliesslich vermögen auch die Vorbringen der Beschwerdeführerin, sie habe sich um ihre Integration in der Schweiz bemüht, Deutsch gelernt, ein Praktikum absolviert und eine Lehrstelle in Aussicht gehabt, nichts an dieser Einschätzung zu ändern.</w:t>
      </w:r>
    </w:p>
    <w:p>
      <w:r>
        <w:rPr>
          <w:b/>
        </w:rPr>
        <w:t>E. 5.2</w:t>
      </w:r>
    </w:p>
    <w:p>
      <w:r>
        <w:t>Die Ausführungen betreffend die fortgeschrittene Integration bleiben bei der Beurteilung der technischen Unmöglichkeit aussen vor, sie wären allenfalls im Rahmen einer Härtefallprüfung gemäss Art. 14 Abs. 2 AsylG i.V.m. Art. 31 der Verordnung vom 24. Oktober 2007 über Zulassung, Aufenthalt und Erwerbstätigkeit (VZAE, SR 142.201) zu prüfen.</w:t>
      </w:r>
    </w:p>
    <w:p>
      <w:r>
        <w:rPr>
          <w:b/>
        </w:rPr>
        <w:t>E. 5.3</w:t>
      </w:r>
    </w:p>
    <w:p>
      <w:r>
        <w:t>Das SEM hat ferner zutreffend festgehalten, dass die Beschwerdeführerin sich hinsichtlich ihrer Lebenssituation nicht auf ein überwiegendes öffentliches Interesse berufen kann. Zwar ist richtig, dass eine Regularisierung ihres Aufenthalts möglicherweise ihre Sozialhilfeunabhängigkeit zur Folge hätte. Sie ist aber nur deshalb auf Leistungen der Nothilfe angewiesen, weil sie ausreisepflichtig ist und die Schweiz verlassen müsste. Nur deshalb ist ihr auch eine Erwerbstätigkeit nicht gestattet.</w:t>
      </w:r>
    </w:p>
    <w:p>
      <w:r>
        <w:rPr>
          <w:b/>
        </w:rPr>
        <w:t>E. 6</w:t>
      </w:r>
    </w:p>
    <w:p>
      <w:r>
        <w:t>Zusammenfassend ist festzuhalten, dass der Vollzug der Wegweisung der Beschwerdeführerin in den (nur ihr bekannten) Heimat-, beziehungsweise Herkunftsstaat möglich ist, da keine Vollzugshindernisse ersichtlich sind (Art. 83 Abs. 2 AIG), und es ihr obliegt, bei der Beschaffung gültiger Reisepapiere mitzuwirken, beziehungsweise sich um diese zu kümmern (vgl. auch BVGE 2008/34 E. 12). Die Beschwerdeführerin verfügt weder über eine ausländerrechtliche Aufenthaltsbewilligung noch über einen Anspruch auf die Erteilung einer solchen. Das Gesuch um Anordnung einer vorläufigen Aufnahme wurde demnach zu Recht abgewiesen. Eine Anordnung der vorläufigen Aufnahme fällt somit ausser Betracht (Art. 83 Abs. 2 i.V.m. Abs. 7 Bst. c AIG).</w:t>
      </w:r>
    </w:p>
    <w:p>
      <w:r>
        <w:rPr>
          <w:b/>
        </w:rPr>
        <w:t>E. 7</w:t>
      </w:r>
    </w:p>
    <w:p>
      <w:r>
        <w:t>Aus diesen Erwägungen ergibt sich, dass die angefochtene Verfügung Bundesrecht nicht verletzt, den rechtserheblichen Sachverhalt richtig sowie vollständig feststellt und angemessen ist (Art. 106 Abs. 1 AsylG). Die Beschwerde ist abzuweisen.</w:t>
      </w:r>
    </w:p>
    <w:p>
      <w:r>
        <w:rPr>
          <w:b/>
        </w:rPr>
        <w:t>E. 8</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Der geleistete Kostenvorschuss in gleicher Höhe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