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E-7166/2006 vom 23. Juli 2007</w:t>
      </w:r>
    </w:p>
    <w:p>
      <w:r>
        <w:t>Bundesverwaltungsgericht, 2007-07-23, DE</w:t>
      </w:r>
    </w:p>
    <w:p>
      <w:r>
        <w:rPr>
          <w:b/>
        </w:rPr>
        <w:t xml:space="preserve">Quelle: </w:t>
      </w:r>
      <w:r>
        <w:t>https://mcp.opencaselaw.ch/entscheid/bvger_E-7166_2006</w:t>
      </w:r>
    </w:p>
    <w:p>
      <w:r>
        <w:t>FR: TAF E-7166/2006 du 23 juillet 2007</w:t>
      </w:r>
    </w:p>
    <w:p>
      <w:r>
        <w:t>IT: TAF E-7166/2006 del 23 luglio 2007</w:t>
      </w:r>
    </w:p>
    <w:p>
      <w:pPr>
        <w:pStyle w:val="Heading2"/>
      </w:pPr>
      <w:r>
        <w:t>Regeste</w:t>
      </w:r>
    </w:p>
    <w:p>
      <w:r>
        <w:t>Asyl und Wegweisung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1. Januar 2007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Der Beschwerdeführer beantragte in der Beschwerde vom 12. Dezember 2002 ausschliesslich die Aufhebung von Ziffer 4 und 5 des Dispositivs. Die Verweigerung der Flüchtlingseigenschaft und des Asyls sowie die Anordnung der Wegweisung wurden nicht angefochten und sind in Rechtskraft erwachsen.</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4.3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4.4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4.5</w:t>
      </w:r>
    </w:p>
    <w:p>
      <w:r>
        <w:t>Die Vorinstanz wies in ihrer angefochtenen Verfügung zutreffend darauf hin, dass der Grundsatz der Nichtrückschiebung nur Personen schützt, die die Flüchtlingseigenschaft erfüllen (vgl. M. Gattiker, Das Asyl- und Wegweisungsverfahren, Bern 1999, S. 89). Da der Beschwerdeführer nur den Vollzug der Wegweisung anfocht und der Entscheid über die Flüchtlingseigenschaft deshalb in Rechskraft erwachsen ist,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4.6</w:t>
      </w:r>
    </w:p>
    <w:p>
      <w:r>
        <w:t>Sodann ergeben sich weder aus den Aussagen des Beschwerdeführers noch aus den Akten Anhaltspunkte dafür, dass er für den Fall einer Ausschaffung in seinen Heimatstaat Liberia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 EMARK 2001 Nr. 16, S. 122, m.w.H.). In casu ist festzuhalten, dass der Beschwerdeführer lediglich geltend macht in Sierra Leone durch mögliche Racheakte von Opfern der Rebellenorganisation RUF gefährdet zu sein. Unbesehen der Frage der Glaubhaftigkeit seiner Ausführungen kann festgehalten werden, dass der Beschwerdeführer nicht geltend macht, in Liberia, dessen Staatsangehörigkeit er gemäss seinen Angaben besitzt, gefährdet zu sein. Unwesentlich ist, dass der Beschwerdeführer in Liberia über kein Beziehungsnetz verfügen will, da dies nicht die Zulässigkeit sondern die Zumutbarkeit des Vollzugs der Wegweisung betrifft, welche in casu nicht zu prüfen ist (vgl. nachfolgend Ziff. 5.7). Die allgemeine Menschenrechtssituation in seinen Heimatstaat Liberia lässt den Wegweisungsvollzug zum heutigen Zeitpunkt klarerweise nicht als unzulässig erscheinen. Nach dem Gesagten ist der Vollzug der Wegweisung sowohl im Sinne der asyl- als auch der völkerrechtlichen Bestimmungen zulässig.</w:t>
      </w:r>
    </w:p>
    <w:p>
      <w:r>
        <w:rPr>
          <w:b/>
        </w:rPr>
        <w:t>E. 4.7</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 in casu geltend gemacht - einer notwendigen medizinischen Behandlung, angenommen werden (vgl. Botschaft zum Bundesbeschluss über das Asylverfahren vom 22. Juni 1990, BBl 1990 II 668).</w:t>
      </w:r>
    </w:p>
    <w:p>
      <w:r>
        <w:rPr>
          <w:b/>
        </w:rPr>
        <w:t>E. 4.8</w:t>
      </w:r>
    </w:p>
    <w:p>
      <w:r>
        <w:t>Gemäss Art. 14a Abs. 6 ANAG findet Art. 14a Abs. 4 ANAG keine Anwendung, wenn der weg- oder ausgewiesene Ausländer die öffentliche Sicherheit und Ordnung verletzt hat oder in schwerwiegender Weise gefährdet. Die Anwendung von Art. 14a Abs. 6 ANAG setzt eine Abwägung zwischen den Interessen der ausländischen Person auf Verbleib in der Schweiz und denjenigen der Schweiz an ihrer Wegweisung voraus und schränkt dabei die Interessen des Staates auf den Schutz vor Gefährdung der öffentlichen Sicherheit und Ordnung oder deren schwerwiegende Verletzung ein (vgl. EMARK 2004 Nr. 39, Erw. 5.3., S. 271 m.w.H.). Nach der weiterhin geltenden Praxis der ARK ist die Ausschlussklausel von Art. 14a Abs. 6 ANAG mit Zurückhaltung und insbesondere unter Beachtung des Verhältnismässigkeitsprinzips anzuwenden (vgl. EMARK 2004 Nr. 39; 2003 Nr. 3; 1997 Nr. 24). Ein konkreter Hinweis darauf, was hinsichtlich der Anwendung von Art. 14a Abs. 6 ANAG praxisgemäss als verhältnismässig gilt, ergibt sich aus dem in EMARK 1995 Nr. 20 festgehaltenen Grundsatz, wonach im Vergleich zu den Ausnahmen bei der wegen Unmöglichkeit angeordneten vorläufigen Aufnahme (vgl. Bundesratsbeschluss vom 20. April 1994) wegen kriminellen, dissozialen oder rechtsmissbräuchlichen Verhaltens ein höherer Massstab anzusetzen ist. Somit genügt es nicht, wenn die kriminellen Handlungen der betroffenen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derartige Gefährdung oder Verletzung schliessen, jedoch kann das Strafmass oder der Umstand, dass durch das begangene Delikt besonders wertvolle Rechtsgüter betroffen sind, zum gegenteiligen Schluss führen. Bei der Interessenabwägung ist der angedrohte Strafrahmen in Bezug zur verhängten Strafe zu setzen. Im Weiteren kann auch das Vorleben des Beschwerdeführers bei der Interessenabwägung mitberücksichtigt werden (vgl. EMARK 1995 Nr. 11). Trotz bedingt ausgesprochener Freiheitsstrafe kann überdies auch die wiederholte Deliktsbegehung ein Anhaltspunkt dafür liefern, dass eine Gefährdung der öffentlichen Sicherheit und Ordnung vorliegt, wird durch eine solche doch die vermutete günstige Prognose erheblich in Frage gestellt (vgl. EMARK 1995 Nr. 10). Der Beschwerdeführer wurde am 21. Dezember 2006 vom Strafgericht des Kantons R_______ wegen sexueller Handlungen mit einem Kind zu einer Gefängnisstrafe von sechs Monaten unter Gewährung des bedingten Strafvollzugs verurteilt. Bereits in den Jahren 2003 und 2005 wurden vom Einzelrichteramt des Kantons R_______ wegen Verstössen gegen das Transportgesetz Geldstrafen verhängt. Wie dem Entscheid des Haftrichters des Verwaltungsgerichts des Kantons R_______ vom 20. April 2007 zu entnehmen ist, wurde die Anordnung der Ausschaffungshaft teilweise mit dem Schutz des Opfers der sexuellen Übergriffe begründet. Der Beschwerdeführer hat mit seinem Verhalten die öffentliche Sicherheit und Ordnung verletzt; zudem liegen gemäss dem Entscheid des Haftrichters Gründe vor, welche eine andauernde Gefährdung der öffentlichen Sicherheit und Ordnung nahe legen. Aus diesen Gründen überwiegt das öffentliche Interesse der Schweiz am Vollzug der Wegweisung klar das private Interesse des Beschwerdeführers, sich auf die Schrankenbestimmung von Art. 14a Abs. 4 ANAG zu berufen. Die Anwendung der Ausschlussklausel von Art. 14a Abs. 6 ANAG erscheint im vorliegenden Fall zudem als verhältnismässig.</w:t>
      </w:r>
    </w:p>
    <w:p>
      <w:r>
        <w:rPr>
          <w:b/>
        </w:rPr>
        <w:t>E. 4.9</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4.10</w:t>
      </w:r>
    </w:p>
    <w:p>
      <w:r>
        <w:t>Insgesamt ist die durch die Vorinstanz verfügte Wegweisung zu bestätigen. Nach dem Gesagten fällt eine Anordnung der vorläufigen Aufnahme ausser Betracht (Art. 14a Abs. 1 - 4 ANAG i.V.m Art. 14a Abs. 6 ANAG).</w:t>
      </w:r>
    </w:p>
    <w:p>
      <w:r>
        <w:rPr>
          <w:b/>
        </w:rPr>
        <w:t>E. 5</w:t>
      </w:r>
    </w:p>
    <w:p>
      <w:r>
        <w:t>Aus diesen Erwägungen ergibt sich, dass die angefochtene Verfügung Bundesrecht nicht verletzt, den rechtserheblichen Sachverhalt richtig und vollständig feststellt und angemessen ist (Art. 106 AsylG). Bei offensichtlich unbegründeten Beschwerden kann auf den Schriftenwechsel verzichtet werden (Art. 111 Abs. 1 AsylG) und der Beschwerdeentscheid summarisch begründet werden (Art. 111 Abs. 3 AsylG). Mit der Beschränkung der Prüfung auf die Zulässigkeit und Möglichkeit des Wegweisungsvollzugs und dem Ausschluss der Prüfung von dessen Zumutbarkeit wurde die Beschwerde nachträglich offensichtlich unbegründet. Es erübrigt sich somit, eine Vernehmlassung zu den Anträgen in der Beschwerde vom 12. Dezember 2002 einzuholen. Die Beschwerde ist nach dem Gesagten im vereinfachten Verfahren abzuweisen.</w:t>
      </w:r>
    </w:p>
    <w:p>
      <w:r>
        <w:rPr>
          <w:b/>
        </w:rPr>
        <w:t>E. 6</w:t>
      </w:r>
    </w:p>
    <w:p>
      <w:r>
        <w:t>Bei diesem Ausgang des Verfahrens sind die Kosten grundsätzlich dem Beschwerdeführer aufzuerlegen (Art. 63 Abs. 1 VwVG). Gemäss Art. 65 Abs. 1 VwVG kann die Beschwerdeinstanz, nach Einreichung der Beschwerde eine Partei, die nicht über die erforderlichen Mittel verfügt, auf Antrag von der Bezahlung der Verfahrenskosten befreien, sofern ihr Begehren nicht aussichtslos erscheint. Im Zeitpunkt der Einreichung der Beschwerde war der Beschwerdeführer minderjährig und machte medizinische Gründe geltend, welche genauerer Abklärungen bezüglich der Zumutbarkeit des Wegweisungsvollzuges bedurften. Die Beschwerde war somit nicht zum Vornherein aussichtslos. Aufgrund der Aktenlage ist zudem von der nach wie vor aktuellen Bedürftigkeit des Beschwerdeführers auszugehen. Aus diesen Gründen ist das Gesuch um unentgeltliche Rechtspflege im Sinne von Art. 65 Abs. 1 VwVG (Erlass der Verfahrenskosten)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