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E-7163/2016 vom 29. Mai 2017</w:t>
      </w:r>
    </w:p>
    <w:p>
      <w:r>
        <w:t>Bundesverwaltungsgericht, 2017-05-29, DE</w:t>
      </w:r>
    </w:p>
    <w:p>
      <w:r>
        <w:rPr>
          <w:b/>
        </w:rPr>
        <w:t xml:space="preserve">Quelle: </w:t>
      </w:r>
      <w:r>
        <w:t>https://mcp.opencaselaw.ch/entscheid/bvger_E-7163_2016</w:t>
      </w:r>
    </w:p>
    <w:p>
      <w:r>
        <w:t>FR: TAF E-7163/2016 du 29 mai 2017</w:t>
      </w:r>
    </w:p>
    <w:p>
      <w:r>
        <w:t>IT: TAF E-7163/2016 del 29 maggio 2017</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einem publizierten Entscheid dargelegt und folgt dabei ständiger Praxis. Darauf kann hier verwiesen werden (BVGE 2013/11 E. 5.1; 2010/57 E. 2.2 und 2.3).</w:t>
      </w:r>
    </w:p>
    <w:p>
      <w:r>
        <w:rPr>
          <w:b/>
        </w:rPr>
        <w:t>E. 5.1</w:t>
      </w:r>
    </w:p>
    <w:p>
      <w:r>
        <w:t>Das Staatssekretariat hat die Eingabe vom 19. Mai 2016 als Mehrfachgesuch entgegengenommen und begründete seinen ablehnenden Entscheid damit, die Vorbringen der Beschwerdeführenden seien widersprüchlich und nachgeschoben und damit unglaubhaft ausgefallen. So habe der Beschwerdeführer im ersten Asylverfahren bei der BzP angegeben, ausser den damals geschilderten Ereignissen aus dem Jahre 2009 keine weiteren Fluchtgründe zu haben. Er habe ausser dem dort Erwähnten noch nie Probleme mit der Polizei, der Armee oder den Behörden gehabt und sei politisch nie aktiv gewesen. Die Beschwerdeführenden hätten zudem anlässlich der Anhörung auf die Frage, ob sie alles hätten sagen können, was ihnen für ihre Asylgesuche wichtig erscheine, bejaht. Auf die individuell gestellte Frage nach weiteren Gründen, welche gegen ihre Rückkehr in ihren Heimatstaat sprechen würden, hätten sie keine weiteren Gründe angegeben. Sie hätten die in der Eingabe vom 3. Mai 2016 genannten Ereignisse aus dem Jahre 2008 nicht einmal ansatzweise erwähnt. Es dürfe jedoch davon ausgegangen werden, dass eine tatsächlich verfolgte Person derart einschneidende Ereignisse im Rahmen eines umfassenden Asylverfahrens sofort, spontan und frei vorbringen würde. Sie hätten jedoch beide gänzlich, mehrfach und ausdrücklich ausgeschlossen, dass weitere Gründe für ihre Asylgesuche beziehungsweise gegen eine Rückkehr in ihren Heimatstaat bestehen würden. Die neuen Vorbringen würden daher mit ihren früheren Schilderungen und Bezeugungen ohne ersichtlichen Grund diametral entgegenstehen. Es sei nicht nachvollziehbar, weshalb das angebliche Strafurteil und der angebliche Zeitungsbericht erst Jahre später hätten vorliegen sollen und die Beschwerdeführenden diese nicht bereits im ersten Asylverfahren hätten vorbringen können. Ihre Sachverhaltsschilderungen seien nicht nur krass widersprüchlich, sondern auch nachgeschoben, unlogisch und konstruiert. Aufgrund dieser Feststellungen müsse auf weitere Unglaubhaftigkeitselemente nicht eingegangen werden, insbesondere auf ihre nach wie vor nicht nachgewiesene Identität. Zudem hätten die eingereichten Kopien des Strafbefehls und des Zeitungsausschnittes nur geringen Beweiswert. Es müsse deswegen nicht näher untersucht werden, weshalb die Beschwerdeführenden nicht direkt nach der Flucht aus der Untersuchungshaft vom 7. November 2008 ausgereist seien und das Land erst am 11. August 2009 verlassen hätten.</w:t>
      </w:r>
    </w:p>
    <w:p>
      <w:r>
        <w:rPr>
          <w:b/>
        </w:rPr>
        <w:t>E. 5.2</w:t>
      </w:r>
    </w:p>
    <w:p>
      <w:r>
        <w:t>In der Rechtsmitteleingabe wird dem entgegengehalten, der Beschwerdeführer habe die in der Eingabe vom 3. Mai 2016 erwähnte Gründe im ersten Asylverfahren deshalb nicht erwähnt, da er damals über keine Beweismittel verfügt habe und Angst gehabt habe, dass man ihm nicht glauben würde. Hätten sie die Ereignisse von 2008 bereits damals erwähnt, wären sie von der Vorinstanz, weil unbewiesen, als unglaubhaft dargestellt worden. Deshalb hätten sie diese gänzlich unerwähnt gelassen, um sie zu einem Zeitpunkt aufzurollen, in dem sie ihre Aussagen würden beweisen können. Ihr Verhalten sei daher weder widersprüchlich oder unlogisch noch konstruiert. Vielmehr habe es die Vorinstanz unterlassen, die nun vorliegenden Beweise zu prüfen. Zudem wären sie bereit, die Umstände aus dem Jahre 2008 ausführlicher darzulegen. Der gegen den Beschwerdeführer eingeleitete (Straf-)Prozess hätte einzig und alleine dazu gedient, politische Gegner auszuschalten. Dieser Vorfall zeige, dass die Menschenrechte in der Mongolei, obwohl als safe country bezeichnet, nach wie vor nicht gewährleistet und gegen ideologisch anders Gesinnte gewaltsam vorgegangen werde.</w:t>
      </w:r>
    </w:p>
    <w:p>
      <w:r>
        <w:rPr>
          <w:b/>
        </w:rPr>
        <w:t>E. 6.1</w:t>
      </w:r>
    </w:p>
    <w:p>
      <w:r>
        <w:t>Das Bundesverwaltungsgericht gelangt nach Prüfung der Akten zum Schluss, dass die Vorinstanz die Asylgesuche der Beschwerdeführenden zu Recht abgewiesen hat. Sie hat in ihrem Entscheid die Gründe angeführt, welche auf die fehlende Glaubhaftigkeit der Vorbringen der Beschwerdeführenden schliessen lassen. Die Ausführungen in der Beschwerdeschrift vermögen an dieser Sichtweise nichts zu ändern. Zur Vermeidung von Wiederholungen kann vorab auf die entsprechenden Erwägungen im angefochtenen Entscheid verwiesen werden.</w:t>
      </w:r>
    </w:p>
    <w:p>
      <w:r>
        <w:rPr>
          <w:b/>
        </w:rPr>
        <w:t>E. 6.2</w:t>
      </w:r>
    </w:p>
    <w:p>
      <w:r>
        <w:t>Insbesondere müssen die in der Eingabe vom 6. Mai 2016 geltend gemachten Asylgründe als insgesamt nachgeschoben und widersprüchlich und damit unglaubhaft qualifiziert werden. Der Einwand der Beschwerdeführenden, wonach sie wegen der damals nicht vorhandenen Beweise die Ereignisse von 2008 im ersten Asylverfahren nicht erwähnt hätten, muss als unbehelfliche Schutzbehauptung bezeichnet werden, gaben sie doch auf entsprechende Fragen anlässlich den dortigen Anhörungen, welche im Übrigen ausführlich ausgefallen sind, keine derartigen Probleme an. Auch verneinten sie die ihnen gestellte Frage nach anderen Gründen. Zudem bestätigten Sie nach der Rückübersetzung des Protokolls die Richtigkeit ihrer Aussagen unterschriftlich (vgl. Akten A10 und A11). Schliesslich hielt die Vorinstanz bezüglich der lediglich in Kopie vorhandenen Beweismittel (Haftbefehl und Zeitungsausschnitt) zu Recht fest, dass diesen aufgrund ihrer Beschaffenheit nur ein geringer Beweiswert zukomme.</w:t>
      </w:r>
    </w:p>
    <w:p>
      <w:r>
        <w:rPr>
          <w:b/>
        </w:rPr>
        <w:t>E. 6.3</w:t>
      </w:r>
    </w:p>
    <w:p>
      <w:r>
        <w:t>Soweit die Beschwerdeführenden ferner geltend machen, in der Mongolei würden Menschenrechte missachtet, ist darauf hinzuweisen, dass der Bundesrat die Mongolei mit Beschluss vom 28. Juni 2000 als verfolgungssicheren Staat im Sinne von Art. 6a Abs. 2 Bst. a AsylG bezeichnet hat und auf diese Einschätzung im Rahmen der periodischen Überprüfung (vgl. Art. 6a Abs. 3 AsylG) bisher nicht zurückgekommen ist. Die Bezeichnung eines Landes als so genanntes "safe country" beinhaltet die Regelvermutung, dass eine flüchtlingsrechtlich bedeutsame staatliche Verfolgung nicht stattfindet und der behördliche Schutz vor nichtstaatlicher Verfolgung (für alle Bevölkerungsschichten) gewährleistet ist. Es handelt sich dabei um eine relative Verfolgungssicherheit, weshalb im Einzelfall auf Grund konkreter und substantiierter Hinweise diese Regelvermutung umgestossen werden kann. Solche konkrete und substanziierte Hinweise vermochten die Beschwerdeführenden nach dem Gesagten nicht glaubhaft zu machen.</w:t>
      </w:r>
    </w:p>
    <w:p>
      <w:r>
        <w:rPr>
          <w:b/>
        </w:rPr>
        <w:t>E. 6.4</w:t>
      </w:r>
    </w:p>
    <w:p>
      <w:r>
        <w:t>Eine längere Zeitspanne zwischen erlebter Verfolgung und der erst später erfolgenden Ausreise aus dem Heimatland kann zum Einen im Hinblick auf die Prüfung der Glaubhaftigkeit der geltend gemachten Ausreisegründe zum Andern bei der Prüfung der Frage, ob für den Zeitpunkt der Ausreise noch eine begründete Verfolgungsfurcht bejaht werden kann, relevant werden. Das SEM hat zurecht als unlogisch erachtet, dass die Beschwerdeführenden ihr Heimatland nicht sofort nach der Flucht des Beschwerdeführers aus der Untersuchungshaft verlassen haben, weshalb ihre Vorbringen mangels zeitlichem Kausalzusammenhang auch als asylirrelevant zu gelten haben, zumal sie dazu keine Erklärungen abgegeben haben.</w:t>
      </w:r>
    </w:p>
    <w:p>
      <w:r>
        <w:rPr>
          <w:b/>
        </w:rPr>
        <w:t>E. 6.5</w:t>
      </w:r>
    </w:p>
    <w:p>
      <w:r>
        <w:t>Zusammenfassend ist festzuhalten, dass es den Beschwerdeführenden nicht gelungen ist, eine bestehende oder drohende, asylrechtlich relevante Gefährdung nachzuweisen oder glaubhaft zu machen. Die Vorinstanz hat ihre Asylgesuche (Mehrfachgesuche) zu Recht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genannten Voraussetzungen sind vorliegend offensichtlich nicht erfüllt. Die Vorinstanz hat in der angefochtenen Verfügung (vgl. E. III) zutreffend erkannt, dass der in Art. 5 AsylG verankerte Grundsatz der Nichtrückschiebung mangels Erfüllung der Flüchtlingseigenschaft keine Anwendung findet und keine anderweitigen völkerrechtlichen Vollzugshindernisse erkennbar sind. Ebenso zutreffend sind ihre Erkenntnisse, wonach weder die allgemeine Lage in der Mongolei noch andere, insbesondere individuelle Gründe gegen die Zumutbarkeit des Wegweisungsvollzuges der Beschwerdeführenden sprächen. Auf die betreffenden Ausführungen kann zur Vermeidung von Wiederholungen verwiesen werden.</w:t>
      </w:r>
    </w:p>
    <w:p>
      <w:r>
        <w:rPr>
          <w:b/>
        </w:rPr>
        <w:t>E. 8.3</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am 1. Dezember 2016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