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E-715/2025 vom 24. Februar 2025</w:t>
      </w:r>
    </w:p>
    <w:p>
      <w:r>
        <w:t>Bundesverwaltungsgericht, 2025-02-24, FR</w:t>
      </w:r>
    </w:p>
    <w:p>
      <w:r>
        <w:rPr>
          <w:b/>
        </w:rPr>
        <w:t xml:space="preserve">Quelle: </w:t>
      </w:r>
      <w:r>
        <w:t>https://mcp.opencaselaw.ch/entscheid/bvger_E-715_2025</w:t>
      </w:r>
    </w:p>
    <w:p>
      <w:r>
        <w:t>FR: TAF E-715/2025 du 24 février 2025</w:t>
      </w:r>
    </w:p>
    <w:p>
      <w:r>
        <w:t>IT: TAF E-715/2025 del 24 febbraio 2025</w:t>
      </w:r>
    </w:p>
    <w:p>
      <w:pPr>
        <w:pStyle w:val="Heading2"/>
      </w:pPr>
      <w:r>
        <w:t>Regeste</w:t>
      </w:r>
    </w:p>
    <w:p>
      <w:r>
        <w:t>Asile et renvoi</w:t>
      </w:r>
    </w:p>
    <w:p>
      <w:pPr>
        <w:pStyle w:val="Heading2"/>
      </w:pPr>
      <w:r>
        <w:t>Erwägungen</w:t>
      </w:r>
    </w:p>
    <w:p>
      <w:r>
        <w:rPr>
          <w:b/>
        </w:rPr>
        <w:t>E. 32</w:t>
      </w:r>
    </w:p>
    <w:p>
      <w:r>
        <w:t>rép. 63 s.), que, partant, sa crainte d’être exposé à un sérieux préjudice à son retour en Turquie en raison de son refus de devenir un informateur ne repose pas sur des allégations vraisemblables et n’est pas objectivement fondée, que ses allégations dans son recours sur sa participation à des manifestations de la diaspora kurde en Suisse sont vagues et aucunement étayées par pièce, qu’elles ne suffisent aucunement à rendre vraisemblable qu’il a exercé des activités en exil allant au-delà du cadre habituel d'opposition de masse au gouvernement turc, ni qu’il a un profil susceptible d'attirer négativement sur lui l'attention des autorités turques à son retour au pays, qu'il convient pour le surplus de renvoyer aux considérants de la décision attaquée (cf. chap. II p. 4 à 13), suffisamment motivée, qu’au vu de ce qui précède, le recours doit être rejeté en tant qu’il conteste le refus de reconnaissance de la qualité de réfugié et le rejet de la demande d’asile et la décision attaquée confirmée sur ces points, qu'aucune des conditions de l'art. 32 de l'ordonnance 1 sur l’asile du 11 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w:t>
      </w:r>
    </w:p>
    <w:p>
      <w:r>
        <w:t>E-715/2025 Page 12 vraisemblable qu'il serait, en cas de retour dans son pays, exposé à un sérieux préjudice au sens de l’art. 3 LAsi (cf. supra), que, pour les mêmes raisons, il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sous l’angle de l’exigibilité de l’exécution du renvoi, le SEM a considéré que ni la Turquie ni les provinces du sud-est de ce pays n’étaient en proie sur l’ensemble de leur territoire à une guerre, une guerre civile ou une situation de violence généralisée, qu’il a estimé qu’il n’y avait pas non plus de facteur individuel de mise en danger concrète du recourant au sens de l’art. 83 al. 4 LEI, qu’il a indiqué, en substance, que les troubles physiques et psychiques allégués par celui-ci n’étaient pas graves au sens de la jurisprudence (cf. ATAF 2011/50 consid. 8.3 ; voir aussi ATAF 2014/26 consid. 7.3 - 7.10), qu’il a ajouté que le recourant pourrait comme par le passé bénéficier en Turquie des soins médicaux dont il avait besoin, tant sur le plan physique que psychique, qu’enfin, il a relevé que le recourant bénéficiait d’un solide cercle familial à même de le soutenir et d’une formation professionnelle alternative de (…) à celle durablement exercée de (…), autant d’atouts à sa réinstallation en Turquie, que l’argument du recours selon lequel l’exécution du renvoi en Turquie exposerait le recourant à une dégradation substantielle de son état de santé tant physique que psychique n’est aucunement étayé, ni partant décisif, que les arguments du SEM concernant l’exigibilité de l’exécution du renvoi du recourant sont pour le reste demeurés incontestés,</w:t>
      </w:r>
    </w:p>
    <w:p>
      <w:r>
        <w:t>E-715/2025 Page 13 que le Tribunal les fait siens et renvoie pour le surplus en ce qui les concerne aux considérants de la décision attaquée (cf. chap. III ch. 2 p. 14 s.), suffisamment motivée, que l’exigibilité de l’exécution du renvoi au sens de l’art. 83 al. 4 LEI a contrario doit dès lors être également confirmée,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ainsi que d’exécution de cette mesure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65 al. 1 PA et art. 102m al. 1 let. a et al. 3 LAsi),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E-715/2025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