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E-715/2015 vom 11. März 2015</w:t>
      </w:r>
    </w:p>
    <w:p>
      <w:r>
        <w:t>Bundesverwaltungsgericht, 2015-03-11, DE</w:t>
      </w:r>
    </w:p>
    <w:p>
      <w:r>
        <w:rPr>
          <w:b/>
        </w:rPr>
        <w:t xml:space="preserve">Quelle: </w:t>
      </w:r>
      <w:r>
        <w:t>https://mcp.opencaselaw.ch/entscheid/bvger_E-715_2015</w:t>
      </w:r>
    </w:p>
    <w:p>
      <w:r>
        <w:t>FR: TAF E-715/2015 du 11 mars 2015</w:t>
      </w:r>
    </w:p>
    <w:p>
      <w:r>
        <w:t>IT: TAF E-715/2015 del 11 marzo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Unbestritten ist, dass aufgrund der Aktenlage mit überwiegender Wahrscheinlichkeit davon auszugehen ist, dass der Beschwerdeführer im Falle einer Rückkehr nach Sri Lanka mit gemäss Art. 3 AsylG asylrelevanten Nachteilen zu rechnen hat und er demnach die Flüchtlingseigenschaft erfüllt.</w:t>
      </w:r>
    </w:p>
    <w:p>
      <w:r>
        <w:rPr>
          <w:b/>
        </w:rPr>
        <w:t>E. 5.2</w:t>
      </w:r>
    </w:p>
    <w:p>
      <w:r>
        <w:t>Gemäss Art. 53 AsylG wird Flüchtlingen kein Asyl gewährt, wenn sie wegen verwerflicher Handlungen dessen unwürdig sind oder wenn sie die innere oder die äussere Sicherheit der Schweiz verletzt haben oder gefährden. Praxisgemäss fallen unter den in Art. 53 AsylG enthaltenen Begriff der "verwerfli­chen Handlungen" auch Delikte, die nicht ein schweres Verbre­chen im Sinne von Art. 1 F Bst. b FK darstellen, solange sie dem abstrak­ten Verbrechensbegriff von Art. 9 Abs. StGB (SR 311.0) in des­sen bis zum 31. Dezember 2006 gültiger Fassung entsprechen. Im heute gelten­den StGB definiert Art. 10 Abs. 2 Straftaten als Verbrechen, die mit mehr als 3 Jahren Freiheitsstrafe bedroht sind. Bei Straftaten im Ausland ist kein strikter Nachweis erforderlich. Es genügt die aus schwerwiegenden Gründen gerechtfertigte Annahme, das heisst die überwiegende Wahrscheinlichkeit, dass sich die betroffene Person einer Straftat im Sinn der genannten Bestimmung schuldig gemacht hat. Die alleinige Tatsache einer Mitgliedschaft bei einer als extremistisch aufzufassenden Organisation vermag nicht zur Folgerung der Asylunwürdigkeit zu führen.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BVGE 2011/29 E. 9.2, mit weiteren Hinweisen).</w:t>
      </w:r>
    </w:p>
    <w:p>
      <w:r>
        <w:rPr>
          <w:b/>
        </w:rPr>
        <w:t>E. 5.3</w:t>
      </w:r>
    </w:p>
    <w:p>
      <w:r>
        <w:t>Zu Recht und mit zutreffender Begründung hat die Vorinstanz erwogen, dass in Anwendung dieser Praxis der Beschwerdeführer aufgrund seiner Beteiligung an der Herstellung von Minen für die LTTE als asylunwürdig im Sinne von Art. 53 AsylG zu erachten ist.</w:t>
      </w:r>
    </w:p>
    <w:p>
      <w:r>
        <w:rPr>
          <w:b/>
        </w:rPr>
        <w:t>E. 5.3.1</w:t>
      </w:r>
    </w:p>
    <w:p>
      <w:r>
        <w:t>Den Vorbringen des Beschwerdeführers kann entnommen werden, dass er im Jahre (...) oder (...) bei den LTTE eine Ausbildung als (...) absolvierte und anschliessend in einer Werkstatt der Tigers Reparatur- und Montagearbeiten verrichtete sowie (...) Leitungen verlegte. Von (...) bis (...) 2008 war er für die (...) von mehreren hundert Claymore-Minen für die LTTE verantwortlich. Es ist davon auszugehen, dass er durch letztgenannte Tätigkeit einen bewussten und konkreten Beitrag zur Förderung krimineller Aktivitäten der LTTE, namentlich gegen Leib und Leben gerichteter Delikte dieser Organisation, geleistet hat.</w:t>
      </w:r>
    </w:p>
    <w:p>
      <w:r>
        <w:rPr>
          <w:b/>
        </w:rPr>
        <w:t>E. 5.3.2</w:t>
      </w:r>
    </w:p>
    <w:p>
      <w:r>
        <w:t>Hinzu kommt, dass es sich bei Claymore-Minen, bei deren Explosion hunderte von Metallteilen mit hoher Geschwindigkeit gestreut werden, um international besonders geächtete Waffen handelt (vgl. das von der Schweiz ratifizierte Übereinkommen vom 18. September 1997 über das Verbot des Einsatzes, der Lagerung, der Herstellung und der Weitergabe von Anti-Personenminen und über deren Vernichtung [SR 0.515.092]), unter denen die Zivil­bevölkerung der betroffenen Gebiete auch lange Zeit nach Beendigung der Kampfhandlungen zu leiden hat.</w:t>
      </w:r>
    </w:p>
    <w:p>
      <w:r>
        <w:rPr>
          <w:b/>
        </w:rPr>
        <w:t>E. 5.3.3</w:t>
      </w:r>
    </w:p>
    <w:p>
      <w:r>
        <w:t>Dass der Beschwerdeführer in Kauf nahm, dass durch sein Handeln Personen getötet oder verletzt wurden, kann auch seinen protokollierten Aussagen entnommen werden (vgl. Akten BFM; A35/23 S. 6 F40).</w:t>
      </w:r>
    </w:p>
    <w:p>
      <w:r>
        <w:rPr>
          <w:b/>
        </w:rPr>
        <w:t>E. 5.3.4</w:t>
      </w:r>
    </w:p>
    <w:p>
      <w:r>
        <w:t>Im Weiteren hat die Vorinstanz den Ausschluss von der Asylgewährung zu Recht auch als verhältnismässig erachtet. Der Beschwerdeführer kann als vorläufig aufgenommener Flüchtling in der Schweiz bleiben. Wiewohl er in der Schweiz selbst nie deliktisch in Erscheinung getreten ist, hat er die LTTE durch seine Hilfestellung massgeblich unterstützt. Zudem ist gemäss Aktenlage davon auszugehen, dass er sich durchaus mit den Zielen und der Vorgehensweise der LTTE identifizierte, und er hat sich weder während dieser Zeit noch nachher grundsätzlich von den Gewaltakten der Tigers distanziert oder diese verurteilt. Seinen Aussagen zufolge stellte der Beschwerdeführer die Mitarbeit beim Bombenbau nicht aus eigenem Antrieb ein, sondern aufgrund der Einwände seiner Ehefrau aus Sicherheitsgründen.</w:t>
      </w:r>
    </w:p>
    <w:p>
      <w:r>
        <w:rPr>
          <w:b/>
        </w:rPr>
        <w:t>E. 5.3.5</w:t>
      </w:r>
    </w:p>
    <w:p>
      <w:r>
        <w:t>Die in der Beschwerdeschrift vorgebrachten Argumente sind nicht geeignet, diese Einschätzung in Frage zu stellen. Der Einwand, der Beschwerdeführer sei von den LTTE zur Mitarbeit gezwungen worden, ist nicht stichhaltig. Seinen Aussagen ist zu entnehmen, dass er sich im Jahre (...) oder (...) freiwillig von der LTTE zum (...) ausbilden liess (vgl. A35/23 S. 14 F126; A8/14 S.12 F112). Zwar gab er zu Protokoll, er sei von den LTTE nach erfolgter Ausbildung gezwungen worden, für sie zu arbeiten. Jedoch wurde er gemäss seiner Darstellung nach drei Monaten ohne weiteres von seiner Mitarbeit bei der Herstellung der Landminen entbunden, nachdem seine Ehefrau sich bei den LTTE hierfür eingesetzt hatte, ohne dass er deswegen Nachteile erlitten hätte (vgl. A35/23 S. 5 F35 ff. und S. 15 F. 135). Ebenso kann der Rüge, das SEM habe die Verhältnismässigkeit der Asylunwürdigkeitserklärung nicht hinreichend geprüft, in Anbetracht der ausführlichen diesbezüglichen Erwägungen in der angefochtenen Verfügung nicht gefolgt werden. Der vom Beschwerdeführer betonte Zeitablauf seit den ihm vorzuwerfenden Taten ist nicht massgeblich, da die strafrechtliche Verjährungsfrist noch nicht abgelaufen ist. Weitere Umstände, die gegen die Verhältnismässigkeit des Asylausschlusses sprechen würden, werden in der Beschwerdeeingabe nicht vor­gebracht.</w:t>
      </w:r>
    </w:p>
    <w:p>
      <w:r>
        <w:rPr>
          <w:b/>
        </w:rPr>
        <w:t>E. 5.4</w:t>
      </w:r>
    </w:p>
    <w:p>
      <w:r>
        <w:t>Nach Ansicht des Bundesverwaltungsgerichts bestehen demnach insgesamt gesehen hinreichende konkrete Anhaltspunkte dafür, dass der Beschwerdeführer verwerfliche Handlungen im Sinne von Art. 53 AsylG begangen hat. Er wurde demnach zu Recht von der Vorinstanz in Anwendung dieser Bestimmung wegen Asylunwürdigkeit von der Asylgewährung ausgeschlossen.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der Beschwerdeführer mit Verfügung des SEM vom 7. Januar 2015 in der Schweiz vorläufig aufgenommen wurde,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zumal das Gesuch um Gewährung der unentgeltlichen Prozessführung (Art. 65 Abs. 1 VwVG) schon infolge Aussichtslosigkeit der Rechtsbegehren abzuweisen ist. Der Antrag auf Befreiung von der Kostenvorschusspflicht wird mit dem vorliegenden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