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E-7145/2025 vom 13. Oktober 2025</w:t>
      </w:r>
    </w:p>
    <w:p>
      <w:r>
        <w:t>Bundesverwaltungsgericht, 2025-10-13, DE</w:t>
      </w:r>
    </w:p>
    <w:p>
      <w:r>
        <w:rPr>
          <w:b/>
        </w:rPr>
        <w:t xml:space="preserve">Quelle: </w:t>
      </w:r>
      <w:r>
        <w:t>https://mcp.opencaselaw.ch/entscheid/bvger_E-7145_2025</w:t>
      </w:r>
    </w:p>
    <w:p>
      <w:r>
        <w:t>FR: TAF E-7145/2025 du 13 octobre 2025</w:t>
      </w:r>
    </w:p>
    <w:p>
      <w:r>
        <w:t>IT: TAF E-7145/2025 del 13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E-7145/2025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w:t>
      </w:r>
    </w:p>
    <w:p>
      <w:r>
        <w:rPr>
          <w:b/>
        </w:rPr>
        <w:t>E. 4.1</w:t>
      </w:r>
    </w:p>
    <w:p>
      <w:r>
        <w:t>Die Vorinstanz führt in der angefochtenen Verfügung im Wesentlichen aus, dass die Beschwerdeführerin zwar erwähnt habe, gegen sie sei in der Türkei möglicherweise ein Verfahren wegen «Propaganda für die Organi- sation» aus den Jahren (…) hängig. Trotz Aufforderung habe sie jedoch keine entsprechenden Nachweise zu den Akten gereicht. Es sei daher frag- lich, ob tatsächlich ein solches Strafverfahren eröffnet worden sei. Weitere Ausführungen hierzu würden sich aber erübrigen, zumal kein besonderes Interesse der türkischen Behörden an ihrer Person erkennbar sei. So sei sie weder einvernommen worden noch wisse sie, welche genauen Vor- würfe im Raum stünden, womit denn auch nicht ersichtlich sei, dass es überhaupt gezielte Vorwürfe gegen sie gegeben habe. Schliesslich habe sie eigenen Angaben zufolge zweimal bei der Polizei Anzeige erstatten und die Türkei problemlos auf legalem Weg verlassen können, was klarerweise gegen ein staatliches Verfolgungsinteresse spreche. Im Übrigen habe sie selbst erklärt, dass sie nicht wegen des Verfahrens ausgereist sei, sondern aufgrund von familiären Konflikten. Die Beschwerdeführenden hätten in diesem Zusammenhang angegeben, die Türkei verlassen zu haben, da ihre jeweiligen Familien ihre Eheschlies- sung aufgrund ihrer unterschiedlichen Ethnien missbilligt hätten. Die ge- schilderten Bedrohungen und erlittenen Tätlichkeiten durch die Familie seien zwar ohne Zweifel ernst zu nehmen, würden in ihrer Gesamtheit je- doch nicht ausreichen, um eine flüchtlingsrechtlich relevante Intensität zu begründen. So habe der Beschwerdeführer einen einmaligen Angriff durch die Familienmitglieder der Beschwerdeführerin erlitten, welcher während deren Schwangerschaft, also vor der Geburt der Tochter am (…), stattge- funden habe. Damit würden die Gewalthandlungen über (…) Jahre vor der Ausreise aus der Türkei zurückliegen, womit bereits fraglich sei, inwiefern</w:t>
      </w:r>
    </w:p>
    <w:p>
      <w:r>
        <w:t>E-7145/2025 Seite 6 diese tatsächlich kausal für die Ausreise im (…) 2023 gewesen seien. Auch ungeachtet dessen würden einzelne Gewalthandlungen – so bedauerlich diese auch seien – für sich alleine keine genügend intensive Verfolgung im Sinne des Asylgesetzes darstellen. Nach der Gewaltanwendung vor der Geburt der Tochter seien sie lediglich noch telefonischen Drohungen aus- gesetzt gewesen. Aufgrund dieser Drohungen könne nicht von einer flücht- lingsrechtlich relevanten Intensität oder einem derartigen psychischen Druck ausgegangen werden, dass ihnen ein menschenwürdiges Leben im Heimatstaat verwehrt gewesen wäre. Dafür spreche einerseits, dass sie nach der Geburt ihrer Tochter für ungefähr (…) weitere Jahre im Heimat- staat gelebt und ihren Alltag hätten bestreiten können. Andererseits hätten sie die gegen die Familienmitglieder erstatteten Anzeigen selbständig wie- der zurückgezogen. Die Beschwerdeführerin habe zwar die Vermutung ge- äussert, dass die Polizei wegen ihrer kurdischen Herkunft ohnehin untätig bleiben würde. Es könne jedoch nicht von Vornherein davon ausgegangen werden, dass sie keinen Schutz erhalten hätte. Gerade nach einer bereits erfolgten Anzeigeerstattung wäre zu erwarten, dass die Handlungen der Polizei abgewartet würden. Zudem hätte auch der Beschwerdeführer die Möglichkeit gehabt, eine Anzeige zu erstatten und aufrechtzuerhalten. Nachdem sie die Anzeigen zurückgezogen hätten, könne nicht automa- tisch davon ausgegangen werden, dass die türkischen Sicherheitsbehör- den nicht bereit oder nicht in der Lage wären, einen türkischen Staatsbür- ger und seine Familie unabhängig von der ethnischen Herkunft seiner Ehe- frau zu schützen. Insgesamt sei festzuhalten, dass der geschilderte famili- äre Konflikt keinen asylrechtlich relevanten Ausnahmefall darstelle, dem sich die Beschwerdeführer nicht durch innerstaatliche Schutzmassnahmen hätten entziehen können. Es wäre ihnen zumutbar gewesen, in einem grundsätzlich schutzwilligen und schutzfähigen Staat wie der Türkei die ihnen offenstehenden Schutzmechanismen in Anspruch zu nehmen, ins- besondere durch die Aufrechterhaltung ihrer Strafanzeigen. Schliesslich sei auch zu berücksichtigen, dass die Türkei ein grossflächiger, stark urba- nisierter Staat mit zahlreichen innerstaatlichen Rückzugs- und Ausweich- möglichkeiten sei. Den Beschwerdeführenden wäre es ferner zumutbar ge- wesen, sich durch geeignete Massnahmen – wie einen dauerhaften Woh- nortwechsel, die Änderung der Kontaktdaten und den vollständigen Ab- bruch familiärer Kontakte – dem familiären Konflikt zu entziehen. Was die Furcht der Beschwerdeführenden vor zukünftiger Verfolgung durch ihre Familienmitglieder anbelange, so sei schliesslich nicht davon auszugehen, dass sich die Drohungen bei ihrer Rückkehr in die Türkei nun- mehr intensivieren sollten. Sodann sei es ihnen bei erneuten Problemen</w:t>
      </w:r>
    </w:p>
    <w:p>
      <w:r>
        <w:t>E-7145/2025 Seite 7 mit den Familienmitgliedern zuzumuten, sich nochmals an die Behörden zu wenden und auf den staatlichen Schutz zu beharren, nicht zuletzt des- halb, weil sie dies bereits in der Vergangenheit gemacht hätten.</w:t>
      </w:r>
    </w:p>
    <w:p>
      <w:r>
        <w:rPr>
          <w:b/>
        </w:rPr>
        <w:t>E. 4.2.1</w:t>
      </w:r>
    </w:p>
    <w:p>
      <w:r>
        <w:t>In der Rechtsmitteleingabe wird dagegen eingewendet, dass ihnen ständige Drohungen und Übergriffe durch ihre Familien ein sicheres Leben in der Türkei verunmöglicht hätten. Sie hätten permanent in Angst und Be- drängnis gelebt. Eine Rückkehr sei ausgeschlossen, da sowohl die Familie der Beschwerdeführerin als auch die Familie des Beschwerdeführers sie weiterhin bedrohen würden. Das Wohl ihrer minderjährigen Tochter habe Vorrang. Der Entscheid der Vorinstanz verletze deren Recht auf Sicherheit, Gesundheit und gewaltfreies Aufwachsen. Schliesslich habe die Gewalt gegen Frauen und Kinder in der Türkei in den letzten Jahren dramatisch zugenommen, so seien alleine im Jahr 2024 280 Frauen getötet worden. Der Hauptgrund, warum Morde in der Türkei so leicht begangen werden könnten, sei, dass der türkische Staat diejenigen, die sich verstecken wol- len würden, nicht schütze und sämtliche Informationen im staatlichen Sys- tem offen zugänglich seien. Daher bestehe für die Beschwerdeführenden nicht die Möglichkeit, sich in einer anderen Stadt in der Türkei zu verste- cken. Ferner habe eine Frau, welche sich im gleichen Camp wie die Beschwer- deführenden aufgehalten habe, bei einer vergleichbaren Bedrohungslage eine Aufenthaltsbewilligung F erhalten. Der ablehnende Entscheid der Vor- instanz verstosse daher gegen den Grundsatz der Gleichbehandlung und Fairness.</w:t>
      </w:r>
    </w:p>
    <w:p>
      <w:r>
        <w:rPr>
          <w:b/>
        </w:rPr>
        <w:t>E. 4.2.2</w:t>
      </w:r>
    </w:p>
    <w:p>
      <w:r>
        <w:t>Mit der Beschwerdeschrift wurden neben bereits im vorinstanzlichen Verfahren eingereichten Unterlagen die folgenden Beweismittel (ohne Übersetzung) eingereicht: - Bericht der Polizeibehörde E._______ vom (…) 2021 - Bericht der allgemeinen gerichtsmedizinischen Untersuchung des Kranken- hauses E._______ vom (…) 2020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E-7145/2025 Seite 8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zur Er- kenntnis,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Insofern die Beschwerdeführenden geltend machen, durch Familien- mitglieder der Beschwerdeführerin verfolgt zu werden, ist diesbezüglich festzuhalten, dass eine Verfolgung durch nichtstaatliche Dritte aufgrund der Subsidiarität des flüchtlingsrechtlichen Schutzes nur dann flüchtlings- rechtlich relevant ist, wenn die betroffene Person in ihrem Heimatland kei- nen ausreichenden Schutz finden kann. Der Schutz vor privater (bezie- 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 duellen Schutz der von nichtstaatlicher Verfolgung bedrohten Person ver- langt werden: Keinem Staat gelingt es, die absolute Sicherheit aller seiner Bürger jederzeit und überall zu garantieren (vgl. BVGE 2008/4 E. 5.2). Das Bundesverwaltungsgericht geht in ständiger Rechtsprechung davon aus, dass die türkischen Behörden grundsätzlich willens und in der Lage sind, bei Behelligungen oder Übergriffen seitens privater Drittpersonen Schutz zu gewähren und eine funktionierende Schutzinfrastruktur zur</w:t>
      </w:r>
    </w:p>
    <w:p>
      <w:r>
        <w:t>E-7145/2025 Seite 9 Verfügung zu stellen (vgl. statt vieler: Urteil des BVGer D-5377/2024 vom 19. November 2024 E. 7.3 m.w.H.). Ebenso kann rechtsprechungsgemäss von der Schutzfähigkeit und dem grundsätzlichen Schutzwillen der türki- schen Behörden hinsichtlich des Umgangs mit Gewalt gegen Frauen aus- gegangen werden (vgl. insbesondere das Referenzurteil des BVGer E-1948/2018 vom 12. Juni 2018 E. 5.2 ff., bestätigt u.a. im Urteil D-4762/2023 vom 20. September 2023 E. 5.2.2 ff., je m.w.H.). Das SEM hat daher in zutreffender Weise darauf hingewiesen, dass sich die Be- schwerdeführenden bei erneuten Drohungen durch die Familienmitglieder nach ihrer Rückkehr in die Türkei an die entsprechenden türkischen Be- hörden wenden können, dies allenfalls auch mit der Hilfe eines Rechtsan- waltes beziehungsweise einer Rechtsanwältin. Dass die türkischen Behör- den im Falle der Beschwerdeführenden nicht schutzwillig oder schutzfähig sind, lässt sich den Akten nicht entnehmen, zumal sie ihre bisherigen An- zeigen denn auch entgegengenommen haben.</w:t>
      </w:r>
    </w:p>
    <w:p>
      <w:r>
        <w:rPr>
          <w:b/>
        </w:rPr>
        <w:t>E. 6.3</w:t>
      </w:r>
    </w:p>
    <w:p>
      <w:r>
        <w:t>Auch aus dem Hinweis in der Beschwerdeschrift, dass einer anderen asylsuchenden Person in einer vergleichbaren Fallkonstellation der Aufent- haltsstatus F zuerkannt worden sei, können die Beschwerdeführenden nichts zu ihren Gunsten ableiten, zumal sich Ergebnisse anderer Asylver- fahren aufgrund der Einzelfallbezogenheit kaum auf andere Fälle übertra- gen lassen.</w:t>
      </w:r>
    </w:p>
    <w:p>
      <w:r>
        <w:rPr>
          <w:b/>
        </w:rPr>
        <w:t>E. 6.4</w:t>
      </w:r>
    </w:p>
    <w:p>
      <w:r>
        <w:t>Betreffend ein möglicherweise gegen die Beschwerdeführerin laufen- des Strafverfahren kann vollumfänglich auf die Ausführungen der Vor- instanz verwiesen werden. Dass ein solches eingeleitet worden sei, wird auf Beschwerdeebene denn auch nicht mehr geltend gemacht. Schliess- lich sind auch die auf Beschwerdeebene eingereichten Beweismittel nicht geeignet, eine andere Einschätzung in Bezug auf die Asylrelevanz der Vor- bringen zu begründen.</w:t>
      </w:r>
    </w:p>
    <w:p>
      <w:r>
        <w:rPr>
          <w:b/>
        </w:rPr>
        <w:t>E. 6.5</w:t>
      </w:r>
    </w:p>
    <w:p>
      <w:r>
        <w:t>Zusammenfassend ist festzuhalten, dass es den Beschwerdeführen- den nicht gelungen ist, eine im Sinne von Art. 3 AsylG relevante Verfol- gungsgefahr nachzuweisen oder glaubhaft darzutun. Die Vorinstanz hat das Asylgesuch der Beschwerdeführenden demzufolge zu Recht abge- lehnt.</w:t>
      </w:r>
    </w:p>
    <w:p>
      <w:r>
        <w:rPr>
          <w:b/>
        </w:rPr>
        <w:t>E. 7.1</w:t>
      </w:r>
    </w:p>
    <w:p>
      <w:r>
        <w:t>Lehnt das SEM das Asylgesuch ab oder tritt es darauf nicht ein, so verfügt es in der Regel die Wegweisung aus der Schweiz und ordnet den</w:t>
      </w:r>
    </w:p>
    <w:p>
      <w:r>
        <w:t>E-7145/2025 Seite 10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Wegweisungshindernissen gilt gemäss Praxis des Bundesverwaltungsgerichts der gleiche Beweisstandard wie bei der Prüfung der Flüchtlingseigenschaft; das heisst, sie sind zu beweisen, wenn der strikte Beweis möglich ist, und andernfalls wenigstens glaubhaft zu ma- 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w:t>
      </w:r>
    </w:p>
    <w:p>
      <w:r>
        <w:t>E-7145/2025 Seite 11 nachzuweisen oder glaubhaft zu machen, kann der in Art. 5 AsylG veran- kerte Grundsatz der Nichtrückschiebung im vorliegenden Verfahren keine Anwendung finden. Eine Rückkehr der Beschwerdeführerin in den Heimat- 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Rückkehr in ihre Heimat- staat Folter oder unmenschliche Behandlung drohen würde (vgl. Urteil des EGMR Saadi gegen Italien 28. Februar 2008, Grosse Kammer 37201/06, § 124 ff. m.w.H.). Gemäss dem oben Ausgeführten gelingt ihnen dies nicht. Schliesslich lässt auch die allgemeine Menschenrechtssituation im Heimat- staat den Wegweisungsvollzug zum heutigen Zeitpunkt nicht generell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Sind Kinder von einem allfälli- gen Wegweisungsvollzug betroffen, so bildet im Rahmen der Zumutbar- keitsprüfung das Kindeswohl einen Gesichtspunkt von gewichtiger Bedeu- tung. Dies ergibt sich insbesondere aus einer völkerrechtskonformen Aus- legung von Art. 83 Abs. 4 AIG im Lichte von Art. 3 Abs. 1 KRK (SR 0.107). Wird eine konkrete Gefährdung festgestellt, ist – unter Vorbehalt von Art. 83 Abs. 7 AIG – die vorläufige Aufnahme zu gewähren.</w:t>
      </w:r>
    </w:p>
    <w:p>
      <w:r>
        <w:rPr>
          <w:b/>
        </w:rPr>
        <w:t>E. 8.3.1</w:t>
      </w:r>
    </w:p>
    <w:p>
      <w:r>
        <w:t>Auch unter Berücksichtigung des Wiederaufflammens des türkischen Konflikts sowie die bewaffneten Auseinandersetzungen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w:t>
      </w:r>
    </w:p>
    <w:p>
      <w:r>
        <w:t>E-7145/2025 Seite 12 Türkei auszugehen (vgl. Referenzurteil des BVGer E-4103/2024 vom 8. November 2024 E. 13.4).</w:t>
      </w:r>
    </w:p>
    <w:p>
      <w:r>
        <w:rPr>
          <w:b/>
        </w:rPr>
        <w:t>E. 8.3.2</w:t>
      </w:r>
    </w:p>
    <w:p>
      <w:r>
        <w:t>Auch in individueller Hinsicht sind keine Gründe ersichtlich, die gegen die Zumutbarkeit des Wegweisungsvollzugs der Beschwerdeführenden sprechen würden. Wie das SEM zutreffend ausgeführt hat, sind die Be- schwerdeführenden mit den Lebensverhältnissen in der Türkei vertraut, verfügen über praktische Arbeitserfahrung und sind bereits vor ihrer Aus- reise aus der Türkei gemeinsam für ihren Lebensunterhalt aufgekommen. So ist es ihnen auch in Annahme des Kontaktabbruchs zu ihren Familien- mitgliedern zuzumuten, zusammen mit ihrer Tochter in die Türkei zurück- zukehren und sich beruflich sowie sozial wieder einzugliedern. In Bezug auf die Gesundheit der Beschwerdeführenden ist festzustellen, dass der Beschwerdeführer angab, seit (…) an (…) zu leiden. Die genannte gesundheitliche Beeinträchtigung spricht nicht für eine medizinische Not- lage, aufgrund welcher von der Unzumutbarkeit des Wegweisungsvollzugs auszugehen wäre (vgl. BVGE 2011/50 E. 8.3 und 2009/2 E. 9.3.2, je m.w.H.), zumal die Türkei grundsätzlich über ein funktionierendes Gesund- heitssystem verfügt, das insbesondere in grösseren Städten dem europäi- schen Standard entspricht (vgl. Urteil BVGer D-1554/2022 vom 29. Juli 2022 E. 9.3.4 m.w.H.). Unter dem Aspekt des Kindeswohls (Art. 3 Abs. 1 KRK) sind sämtliche Um- stände zu würdigen, die im Hinblick auf den Vollzug einer Wegweisung we- sentlich erscheinen, namentlich das Alter des Kindes, dessen Reife und Abhängigkeit, die Art der Beziehung zu Bezugspersonen (Nähe, Intensität, Tragfähigkeit), die Eigenschaften der Bezugspersonen (insbesondere Un- terstützungsbereitschaft und -fähigkeit), Stand und Prognose bezüglich der Entwicklung und Ausbildung des Kindes sowie der Grad der erfolgten In- tegration bei einem längeren Aufenthalt in der Schweiz (vgl. BVGE 2014/20 E. 8.3.6 und 2009/51 E. 5.6, je m.w.H.). Gerade die Dauer des Aufenthalts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 Ent- wurzelung im Heimatland haben, die unter Umständen die Rückkehr dort- hin als unzumutbar erscheinen lässt (vgl. BVGE 2009/51 E.5.6 und 2009/28 E. 9.3.2). Die Tochter der Beschwerdeführenden ist in der Türkei</w:t>
      </w:r>
    </w:p>
    <w:p>
      <w:r>
        <w:t>E-7145/2025 Seite 13 geboren und (…) Jahre alt. Aufgrund ihres jungen Alters und der relativ kurzen Aufenthaltsdauer in der Schweiz kann noch nicht von einer fortge- schrittenen Verwurzelung gesprochen werden, zumal ihre Eltern die wich- tigsten Bezugspersonen sind. Bei einer Rückkehr mit ihren Eltern wird sie daher nicht aus stabilen Beziehungen herausgerissen und sich aufgrund ihres Alters in ihrem Heimatland problemlos integrieren können. Insbeson- dere ist aufgrund der gegebenen Umstände nicht davon auszugehen, dass ihre Entwicklung langfristig gefährdet wäre oder die Gefahr von erhebli- chen psychischen Belastungen besteht. Eine Rückkehr in die Türkei ist demnach mit dem Kindeswohl vereinbar.</w:t>
      </w:r>
    </w:p>
    <w:p>
      <w:r>
        <w:rPr>
          <w:b/>
        </w:rPr>
        <w:t>E. 8.4</w:t>
      </w:r>
    </w:p>
    <w:p>
      <w:r>
        <w:t>Nach dem Gesagten erweist sich der Vollzug der Wegweisung auch als zumutbar.</w:t>
      </w:r>
    </w:p>
    <w:p>
      <w:r>
        <w:rPr>
          <w:b/>
        </w:rPr>
        <w:t>E. 8.5</w:t>
      </w:r>
    </w:p>
    <w:p>
      <w:r>
        <w:t>Schliesslich obliegt es den Beschwerdeführenden, sich bei der zustän- digen Vertretung des Heimatstaates für eine Rückkehr notwendigen Rei- sedokumente zu beschaffen (Art. 8 Abs. 4 AsylG; vgl.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zumal das Gesuch um Gewährung der unentgelt- lichen Prozessführung im Sinne von Art. 65 VwVG – wie auch das Gesuch um Einsetzung einer amtlichen Rechtsverbeiständung im Sinne von Art. 102m Abs. 1 AsylG – wegen der Aussichtslosigkeit der Rechtsbegeh- ren abzuweisen sind.</w:t>
      </w:r>
    </w:p>
    <w:p>
      <w:r>
        <w:t>E-7145/2025 Seite 14</w:t>
      </w:r>
    </w:p>
    <w:p>
      <w:r>
        <w:rPr>
          <w:b/>
        </w:rPr>
        <w:t>E. 10.2</w:t>
      </w:r>
    </w:p>
    <w:p>
      <w:r>
        <w:t>Das Gesuch um Verzicht auf die Erhebung eines Kostenvorschusses wird mit dem vorliegenden Entscheid in der Hauptsache gegenstandslos.</w:t>
      </w:r>
    </w:p>
    <w:p>
      <w:r>
        <w:t>(Dispositiv nächste Seite)</w:t>
      </w:r>
    </w:p>
    <w:p>
      <w:r>
        <w:t>E-7145/2025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