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E-7142/2014 vom 29. Januar 2015</w:t>
      </w:r>
    </w:p>
    <w:p>
      <w:r>
        <w:t>Bundesverwaltungsgericht, 2015-01-29, DE</w:t>
      </w:r>
    </w:p>
    <w:p>
      <w:r>
        <w:rPr>
          <w:b/>
        </w:rPr>
        <w:t xml:space="preserve">Quelle: </w:t>
      </w:r>
      <w:r>
        <w:t>https://mcp.opencaselaw.ch/entscheid/bvger_E-7142_2014</w:t>
      </w:r>
    </w:p>
    <w:p>
      <w:r>
        <w:t>FR: TAF E-7142/2014 du 29 janvier 2015</w:t>
      </w:r>
    </w:p>
    <w:p>
      <w:r>
        <w:t>IT: TAF E-7142/2014 del 29 gennaio 2015</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bzw.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Gemäss Art. 108 Abs. 2 AsylG beträgt die Beschwerdefrist gegen Nichteintretensentscheide fünf Arbeitstage. Berechnet sich eine Frist nach Tagen, so beginnt sie an dem auf ihre Mitteilung folgenden Tag zu laufen (Art. 20 Abs. 1 VwVG); die Mitteilung gilt spätestens am siebten Tag nach dem ersten erfolglosen Zustellungsversuch als erfolgt (Art. 20 Abs. 2bis VwVG). Da sich kein Rückschein in den vorinstanzlichen Akten befindet, steht der Zeitpunkt der Eröffnung der angefochtenen Verfügung nicht fest. Bei dieser Sachlage ist zu Gunsten der Beschwerdeführerin davon auszugehen, dass mit Eingabe vom 8. Dezember 2014 die Beschwerde fristgerecht eingereicht wurde (vgl. André Moser/Michael Beusch/Lorenz Kneubühler, Prozessieren vor dem Bundesverwaltungsgericht, Handbücher für die Anwaltspraxis, Band X, Basel 2008, Rz. 3.150, S. 166 f.).</w:t>
      </w:r>
    </w:p>
    <w:p>
      <w:r>
        <w:rPr>
          <w:b/>
        </w:rPr>
        <w:t>E. 1.4</w:t>
      </w:r>
    </w:p>
    <w:p>
      <w:r>
        <w:t>Die Beschwerde ist auch formgerecht eingereicht. Die Beschwerdeführerin hat zudem am Verfahren vor der Vorinstanz teilgenommen, ist durch die angefochtene Verfügung besonders berührt und hat ein schutzwürdiges Interesse an deren Aufhebung bzw. Änderung. Sie ist daher zur Einreichung der Beschwerde legitimiert (Art. 105 AsylG; Art. 48 Abs. 1 sowie Art. 52 VwVG). Auf die Beschwerde ist einzutreten.</w:t>
      </w:r>
    </w:p>
    <w:p>
      <w:r>
        <w:rPr>
          <w:b/>
        </w:rPr>
        <w:t>E. 2.1</w:t>
      </w:r>
    </w:p>
    <w:p>
      <w:r>
        <w:t>Die Kognition des Bundesverwaltungsgerichts im Asylbereich und die zulässigen Rügen richten sich nach Art. 106 Abs. 1 AsylG.</w:t>
      </w:r>
    </w:p>
    <w:p>
      <w:r>
        <w:rPr>
          <w:b/>
        </w:rPr>
        <w:t>E. 2.2</w:t>
      </w:r>
    </w:p>
    <w:p>
      <w:r>
        <w:t>Gestützt auf Art. 111a Abs. 1 AsylG wurde vorliegend auf einen Schriftenwechsel verzichtet.</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auf das Asylgesuch nicht ein.</w:t>
      </w:r>
    </w:p>
    <w:p>
      <w:r>
        <w:rPr>
          <w:b/>
        </w:rPr>
        <w:t>E. 3.3</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in einem anderen Mitgliedstaat einen Antrag gestellt hat, nach Massgabe von Art. 21, Art. 22 und Art. 29 Dublin-III-VO aufzunehmen (Art. 18 Abs. 1 Bst. a Dublin-III-VO). Diese Verpflichtung erlischt, wenn der Gesuchsteller oder eine andere Person gemäss Art. 18 Abs. 1 Bst. c oder d Dublin-III-VO das Herrschaftsgebiet der Mitgliedstaaten während einer Dauer von mindestens drei Monaten verlassen hat, ausser die Person verfüge über einen durch den zuständigen Mitgliedstaat ausgestellten Aufenthaltstitel (Art. 19 Abs. 2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Der angebliche Ehemann der Beschwerdeführerin - G._______, geboren am (...) 1984 (N [...]) - stammt wie die Beschwerdeführerin aus I._______ (Eritrea). Er verliess sein Heimatland am (...) 2008 und reiste am (...) 2008 in die Schweiz ein, wo ihm am 6. August 2010 Asyl gewährt wurde.</w:t>
      </w:r>
    </w:p>
    <w:p>
      <w:r>
        <w:rPr>
          <w:b/>
        </w:rPr>
        <w:t>E. 4.2</w:t>
      </w:r>
    </w:p>
    <w:p>
      <w:r>
        <w:t>Die Beschwerdeführerin gab zu Protokoll, dass sie mit G._______, den sie seit ihrer Kindheit kenne, seit dem Jahr 2005 eine Liebesbeziehung habe (A3 S. 4). Am (...) 2013 hätten sie in Kassala (Sudan) geheiratet (A3 S. 3). Aus den Akten ergibt sich, dass G._______ in diesem Zeitpunkt bereits in der Schweiz war und sie sich in Saudi-Arabien aufgehalten habe (A3 S. 5). Das Ehegelübde sei stellvertretend durch den Bruder von G._______ und durch den Vater der Beschwerdeführerin (A3 S. 4 und 6) vollzogen worden. Sie hätten indes regelmässig telefonischen Kontakt gehabt (A3 S. 4).</w:t>
      </w:r>
    </w:p>
    <w:p>
      <w:r>
        <w:rPr>
          <w:b/>
        </w:rPr>
        <w:t>E. 4.3</w:t>
      </w:r>
    </w:p>
    <w:p>
      <w:r>
        <w:t>Den vorliegenden Akten ist ferner zu entnehmen, dass die französische Auslandsvertretung in Djeddah der Beschwerdeführerin am (...) 2014 ein Schengen-Visum (gültig vom [...] bis [...]) ausgestellt hatte (A2), mit welchem sie eigenen Angaben entsprechend am (...) 2014 nach Frankreich einreiste (A3 S. 5 und 9). Das BFM ersuchte die französischen Behörden am 19. September 2014 um Aufnahme der Beschwerdeführerin gestützt auf Art. 21 Dublin-III-VO (i.V.m. Art. 12 Abs. 2 Dublin-III-VO). Die französischen Behörden stimmten dem Gesuch um Übernahme am 17. November 2014 zu.</w:t>
      </w:r>
    </w:p>
    <w:p>
      <w:r>
        <w:rPr>
          <w:b/>
        </w:rPr>
        <w:t>E. 5.1</w:t>
      </w:r>
    </w:p>
    <w:p>
      <w:r>
        <w:t>Zunächst soll abgeklärt werden, ob die Schweiz aufgrund des hier aufenthaltsberechtigten G._______ für das Asyl- und Wegweisungsverfahren der Beschwerdeführerin zuständig ist (Art. 9 Dublin-III-VO).</w:t>
      </w:r>
    </w:p>
    <w:p>
      <w:r>
        <w:rPr>
          <w:b/>
        </w:rPr>
        <w:t>E. 5.1.1</w:t>
      </w:r>
    </w:p>
    <w:p>
      <w:r>
        <w:t>Das BFM hielt in seiner Verfügung vom 21. November 2014 fest, dass der Begriff Familienangehörige der Dublin-III-VO eine dauerhafte Beziehung, welche bereits im Heimatland bestanden habe, voraussetze. In diesem Zusammenhang sei auch Art. 8 der Konvention vom 4. November 1950 zum Schutze der Menschenrechte und Grundfreiheiten (EMRK, SR 0.101) zu beachten, welcher bezüglich der Familieneinheit verschiedene Faktoren - z.B. das gemeinsame Wohnen, die finanzielle Verflochtenheit, die Bindung der Partner aneinander und die Stabilität sowie die Dauer einer Beziehung - berücksichtige. Bis anhin sei die Ehe zwischen G._______ und der Beschwerdeführerin nach schweizerischem Recht nicht rechtsgültig. Des Weiteren bestehe zwischen den erwähnten Personen keine dauerhafte und tatsächlich gelebte Beziehung im Sinne von Art. 8 EMRK, weswegen G._______ und die Beschwerdeführerin nicht unter den Familienbegriff der Dublin-III-VO fallen würden.</w:t>
      </w:r>
    </w:p>
    <w:p>
      <w:r>
        <w:rPr>
          <w:b/>
        </w:rPr>
        <w:t>E. 5.1.2</w:t>
      </w:r>
    </w:p>
    <w:p>
      <w:r>
        <w:t>Hat der Antragsteller einen Familienangehörigen - ungeachtet der Frage, ob die Familie bereits im Herkunftsland bestanden hat -, der in seiner Eigenschaft als Begünstigter in einem Mitgliedstaat aufenthaltsberechtigt ist, so ist dieser Mitgliedstaat für die Prüfung des Asylgesuchs zuständig, sofern die betreffenden Personen diesen Wunsch schriftlich kundtun (Art. 9 Dublin-III-VO). Ein Familienangehöriger kann ein Ehegatte oder ein Lebenspartner sein, der mit dem Antragsteller eine dauerhafte Beziehung führt (Art. 2 Bst. g Dublin-III-VO).</w:t>
      </w:r>
    </w:p>
    <w:p>
      <w:r>
        <w:rPr>
          <w:b/>
        </w:rPr>
        <w:t>E. 5.1.3</w:t>
      </w:r>
    </w:p>
    <w:p>
      <w:r>
        <w:t>Im Gegensatz zur Auffassung der Vorinstanz muss die Familie von Angehörigen, die Begünstigte internationalen Schutzes - gemeint ist Asyl oder subsidiärer Schutz (vgl. Art. 2 Bst. g Dublin-III-VO i.V.m. Art. 2 Bst. b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 sind, nicht bereits im Herkunftsland bestanden haben (vgl. Art. 9 Dublin-III-VO). Indes ist der Vorinstanz Recht zu geben, dass vorliegend bisher keine dauerhafte Beziehung zwischen G._______ und der Beschwerdeführerin bestand. Art. 8 EMRK schützt ein tatsächlich gelebtes Familienleben, wenn eine genügend nahe, echte und tatsächlich gelebte Beziehung besteht. Hinweise für eine solche Beziehung sind das Zusammenleben in einem gemeinsamen Haushalt, eine finanzielle Abhängigkeit, speziell enge familiäre Bande, regelmässige Kontakte oder die Übernahme von Verantwortung für eine andere Person (vgl. BGE 135 I 143 E. 3.1). Die Beschwerdeführerin hat Eritrea im Jahr 1988 verlassen, als G._______ vier Jahre alt war. Die Aussage, sie würden seit dem Jahr 2005 eine Liebesbeziehung führen, kann nicht als eine tatsächlich gelebte Beziehung bezeichnet werden, da G._______ damals noch in Eritrea war und die Beschwerdeführerin im Sudan gelebt habe. G._______ hat denn auch weder an seiner Befragung vom (...) 2008 noch an seiner Anhörung vom (...) 2010 zu Protokoll gegeben, er sei verlobt oder führe eine Beziehung. Sein zweiwöchiger Aufenthalt im Sudan - während seiner Reise nach Europa - wäre wohl der einzige Anknüpfungspunkt zur Beschwerdeführerin, indes gibt es in seinen Aussagen keine Anhaltspunkte auf eine Kontaktaufnahme zur Beschwerdeführerin. An diesen Erwägungen ändert auch der eingereichte Eheschein nichts, zumal in erster Linie nicht ein rechtlich begründetes Eheleben geschützt werden soll, sondern eine tatsächlich gelebte Beziehung (vgl. BGE 135 I 143 E. 3.1). Auch die aktuelle Schwangerschaft vermag an dieser Einschätzung nichts zu ändern. Zu bemerken bleibt, dass sich G._______ bis anhin nicht zu einer Beziehung zur Beschwerdeführerin persönlich geäussert hat, wie Art. 9 Dublin-III-VO voraussetzt.</w:t>
      </w:r>
    </w:p>
    <w:p>
      <w:r>
        <w:rPr>
          <w:b/>
        </w:rPr>
        <w:t>E. 5.1.4</w:t>
      </w:r>
    </w:p>
    <w:p>
      <w:r>
        <w:t>Folglich ist keine Zuständigkeit der Schweiz für das Asyl- und Wegweisungsverfahren der Beschwerdeführerin aufgrund von Art. 9 i.V.m. Art. 2 Bst. g Dublin-III-VO zu erkennen.</w:t>
      </w:r>
    </w:p>
    <w:p>
      <w:r>
        <w:rPr>
          <w:b/>
        </w:rPr>
        <w:t>E. 5.2</w:t>
      </w:r>
    </w:p>
    <w:p>
      <w:r>
        <w:t>Aufgrund des französischen Visums, welches im Zeitpunkt der Anfrage vom 19. September 2014 an die französischen Behörden noch gültig war, ist indes die grundsätzliche Zuständigkeit Frankreichs gegeben (Art. 12 Abs. 2 Dublin-III-VO).</w:t>
      </w:r>
    </w:p>
    <w:p>
      <w:r>
        <w:rPr>
          <w:b/>
        </w:rPr>
        <w:t>E. 5.3</w:t>
      </w:r>
    </w:p>
    <w:p>
      <w:r>
        <w:t>Im Lichte von Art. 3 Abs. 2 Dublin-III-VO ist weiter zu prüfen, ob es wesentliche Gründe für die Annahme gibt, das Asylverfahren und die Aufnahmebedingungen für Asylsuchende in Frankreich würden systemische Schwachstellen aufweisen, die eine Gefahr einer unmenschlichen oder entwürdigenden Behandlung im Sinne von Art. 4 EU-Grundrechtecharta mit sich bringen würden.</w:t>
      </w:r>
    </w:p>
    <w:p>
      <w:r>
        <w:rPr>
          <w:b/>
        </w:rPr>
        <w:t>E. 5.3.1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5.3.2</w:t>
      </w:r>
    </w:p>
    <w:p>
      <w:r>
        <w:t>Unter diesen Umständen ist die Anwendung von Art. 3 Abs. 2 Dublin-III-VO nicht gerechtfertigt.</w:t>
      </w:r>
    </w:p>
    <w:p>
      <w:r>
        <w:rPr>
          <w:b/>
        </w:rPr>
        <w:t>E. 5.4</w:t>
      </w:r>
    </w:p>
    <w:p>
      <w:r>
        <w:t>Die Beschwerdeführerin fordert mit ihrem Vorbringen implizit die Anwendung der Ermessensklausel von Art. 17 Abs. 1 Dublin-III-VO, was zum Selbsteintritt der Schweiz und zur Beurteilung des Antrags auf internationalen Schutz durch dieses Land führen würde.</w:t>
      </w:r>
    </w:p>
    <w:p>
      <w:r>
        <w:rPr>
          <w:b/>
        </w:rPr>
        <w:t>E. 5.4.1</w:t>
      </w:r>
    </w:p>
    <w:p>
      <w:r>
        <w:t>Die Beschwerdeführerin hat kein konkretes und ernsthaftes Risiko dargetan, die französischen Behörden würden sich weigern, sie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Frankreich seien derart schlecht, dass sie zu einer Verletzung von Art. 4 EU-Grundrechtecharta, Art. 3 EMRK oder Art. 3 FoK führen könnten. Die Beschwerdeführerin hat auch keine konkreten Hinweise für die Annahme dargetan, Frankreich würde ihr dauerhaft die ihr gemäss Aufnahmerichtlinie zustehenden minimalen Lebensbedingungen vorenthalten. Bei einer allfälligen vorübergehenden Einschränkung könnte sie sich im Übrigen nötigenfalls an die französischen Behörden wenden und die ihr zustehenden Aufnahmebedingungen auf dem Rechtsweg einfordern (vgl. Art. 26 Aufnahmerichtlinie).</w:t>
      </w:r>
    </w:p>
    <w:p>
      <w:r>
        <w:rPr>
          <w:b/>
        </w:rPr>
        <w:t>E. 5.4.2</w:t>
      </w:r>
    </w:p>
    <w:p>
      <w:r>
        <w:t>Die Beschwerdeführerin gab in ihrer Rechtsmittelschrift an, sie sei schwanger. Damit könnte sie implizit darauf hinweisen wollen, dass ihr Gesundheitszustand einer Überstellung entgegenstehe und damit Art. 3 EMRK verletze.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m.H.a.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Die Beschwerdeführerin konnte nicht nachweisen, dass sie nicht reisefähig sei oder eine Überstellung ihre Gesundheit ernsthaft gefährden würde. Ihr Gesundheitszustand vermag eine Unzulässigkeit im Sinne dieser restriktiven Rechtsprechung nicht zu rechtfertigen. Die gesundheitlichen Probleme sind auch nicht von einer derartigen Schwere, dass aus humanitären Gründen von einer Überstellung abgesehen werden müsste. Im Übrigen ist allgemein bekannt, dass Frankreich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der Beschwerdeführerin eine adäquate medizinische Behandlung verweigern würde. Die schweizerischen Behörden, die mit dem Vollzug der angefochten Verfügung beauftragt sind, werden den medizinischen Umständen bei der Bestimmung der konkreten Modalitäten der Überstellung der Beschwerdeführerin Rechnung tragen und die französischen Behörden vorgängig in geeigneter Weise über die spezifischen medizinischen Umstände - sprich die Schwangerschaft - informieren (vgl. Art. 31 f. Dublin-III-VO).</w:t>
      </w:r>
    </w:p>
    <w:p>
      <w:r>
        <w:rPr>
          <w:b/>
        </w:rPr>
        <w:t>E. 5.4.3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5.5</w:t>
      </w:r>
    </w:p>
    <w:p>
      <w:r>
        <w:t>Somit bleibt Frankreich der für die Behandlung des Asylgesuchs der Beschwerdeführerin zuständige Mitgliedstaat gemäss Dublin-III-VO. Frankreich ist verpflichtet, das Asylverfahren gemäss Art. 21, Art. 22 und Art. 29 Dublin-III-VO aufzunehmen.</w:t>
      </w:r>
    </w:p>
    <w:p>
      <w:r>
        <w:rPr>
          <w:b/>
        </w:rPr>
        <w:t>E. 6</w:t>
      </w:r>
    </w:p>
    <w:p>
      <w:r>
        <w:t>Das BFM ist demnach zu Recht in Anwendung von Art. 31a Abs. 1 Bst. b AsylG auf das Asylgesuch der Beschwerdeführerin nicht eingetreten. Da die Beschwerdeführerin nicht im Besitz einer gültigen Aufenthalts- oder Niederlassungsbewilligung ist, wurde die Überstellung nach Frankreich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des Bundesgesetzes vom 16. Dezember 2005 über die Ausländerinnen und Ausländer (AuG, SR 142.20) unter diesen Umständen nicht mehr zu prüfen (vgl. BVGE 2010/45 E. 10).</w:t>
      </w:r>
    </w:p>
    <w:p>
      <w:r>
        <w:rPr>
          <w:b/>
        </w:rPr>
        <w:t>E. 8</w:t>
      </w:r>
    </w:p>
    <w:p>
      <w:r>
        <w:t>Nach dem Gesagten ist die Beschwerde abzuweisen und die Verfügung der Vorinstanz zu bestätigen.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