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E-7136/2016 vom 29. November 2016</w:t>
      </w:r>
    </w:p>
    <w:p>
      <w:r>
        <w:t>Bundesverwaltungsgericht, 2016-11-29, DE</w:t>
      </w:r>
    </w:p>
    <w:p>
      <w:r>
        <w:rPr>
          <w:b/>
        </w:rPr>
        <w:t xml:space="preserve">Quelle: </w:t>
      </w:r>
      <w:r>
        <w:t>https://mcp.opencaselaw.ch/entscheid/bvger_E-7136_2016</w:t>
      </w:r>
    </w:p>
    <w:p>
      <w:r>
        <w:t>FR: TAF E-7136/2016 du 29 novembre 2016</w:t>
      </w:r>
    </w:p>
    <w:p>
      <w:r>
        <w:t>IT: TAF E-7136/2016 del 29 novembre 2016</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VwVG) ist grundsätzlich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Soweit der Beschwerdeführer die Gewährung von Asyl, Anerkennung der Flüchtlingseigenschaft sowie vorläufige Aufnahme begehrt, nimmt er somit eine unzulässige Erweiterung des Streitgegenstandes vor, weshalb auf diese Anträge nicht einzutreten ist. Weiter hat die vorliegende Beschwerde gemäss Art. 42 AsylG und Art. 55 Abs. 1 VwVG aufschiebende Wirkung. Mangels Entzug der aufschiebenden Wirkung durch die Vorinstanz (vgl. Art. 55 Abs. 2 VwVG) ist auf den Eventualantrag, die aufschiebende Wirkung der Beschwerde sei wiederherzustellen, ebenfalls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31a Abs. 3 AsylG wird auf ein Asylgesuch, welches die Voraussetzungen von Art. 18 AsylG nicht erfüllt, nicht eingetreten. Dies gilt namentlich, wenn das Asylgesuch ausschliesslich aus wirtschaftlichen oder medizinischen Gründen eingereicht wurde. Als Asylgesuch gilt jede Äusserung, mit der eine Person zu erkennen gibt, dass sie die Schweiz um Schutz vor Verfolgung nachsucht (Art. 18 AsylG). Eine Person muss demnach zum Ausdruck bringen, dass sie in ihrem Heimatstaat oder im Land, in dem sie zuletzt wohnte, wegen ihrer Rasse, Religion, Nationalität, Zugehörigkeit zu einer bestimmten sozialen Gruppe oder ihrer politischen Anschauungen ernsthaften Nachteilen ausgesetzt ist oder dass sie begründete Furcht hat, solchen Nachteilen ausgesetzt zu werden (Art. 3 Abs. 1 AsylG).</w:t>
      </w:r>
    </w:p>
    <w:p>
      <w:r>
        <w:rPr>
          <w:b/>
        </w:rPr>
        <w:t>E. 3.2</w:t>
      </w:r>
    </w:p>
    <w:p>
      <w:r>
        <w:t>Zur Begründung ihres Nichteintretensentscheides führt die Vorinstanz im Wesentlichen aus, der Beschwerdeführer habe angegeben, den Kosovo alleine wegen der Arbeitssuche verlassen zu haben, um seine kranken Eltern finanziell zu unterstützen und seine Tochter ernähren zu können. Andere als wirtschaftliche Probleme habe er im Heimatland nicht gehabt. Gemäss Art. 31a Abs. 3 AsylG werde somit nicht auf sein Asylgesuch eingetreten. Der Beschwerdeführer legt in seiner Rechtsmitteleingabe nicht ansatzweise dar, inwiefern die Vorinstanz mit ihrem Entscheid Bundesrecht verletzt haben soll. Solches ist auch nicht ersichtlich. So gibt der Beschwerdeführer selber an, er sei lediglich aus wirtschaftlichen Gründen in die Schweiz eingereist. Er sei arbeitslos und finde keine Arbeit. Auch seine Brüder hätten keine Arbeit, die Arbeitslosigkeit im Kosovo sei extrem hoch. Seine kranken Eltern hätten ebenfalls keine Arbeit und könnten ihre medizinische Behandlung nicht finanzieren. Zudem habe er ein Kind, für welches er so nicht sorgen könne. Weiter bringt er vor, er könne nicht in sein Heimatland zurückkehren. Damit bringt er zwar zum Ausdruck, dass er in der Schweiz bleiben möchte, bittet jedoch nicht um Schutz vor Verfolgung, sondern um wirtschaftliche Hilfe. Die Vorinstanz ist somit zu Recht gestützt auf Art. 31a Abs. 3 AsylG auf sein Asylgesuch nicht eingetreten, da kein solches vorliegt, sondern die Einreise rein aus wirtschaftlichen Gründen erfolgte.</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S.733). Die Wegweisung wurde demnach zu Recht verfügt.</w:t>
      </w:r>
    </w:p>
    <w:p>
      <w:r>
        <w:rPr>
          <w:b/>
        </w:rPr>
        <w:t>E. 5</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5.1</w:t>
      </w:r>
    </w:p>
    <w:p>
      <w:r>
        <w:t>Der Vollzug der Wegweisung nach Art. 83 Abs. 3 AuG ist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Kosovo dort mit beachtlicher Wahrscheinlichkeit einer nach Art. 3 EMRK oder Art. 1 FoK verbotenen Strafe oder Behandlung ausgesetzt wäre. Der Vollzug der Wegweisung ist zulässig.</w:t>
      </w:r>
    </w:p>
    <w:p>
      <w:r>
        <w:rPr>
          <w:b/>
        </w:rPr>
        <w:t>E. 5.2</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im Kosovo noch individuelle Gründe lassen auf eine konkrete Gefährdung im Falle einer Rückkehr des Beschwerdeführers schliessen. In Bezug auf den Kosovo geht das Bundesverwaltungsgericht davon aus, dass keine Situation allgemeiner Gewalt herrscht. Der Staat befindet sich seit dem 1. April 2009 auf der vom Bundesrat festgelegten Liste der sogenannten "Safe Countries". Es ist zu erwarten, dass sich der Beschwerdeführer auch beruflich und sozial wieder integrieren kann, zumal er über eine mehrjährige Schuldbildung verfügt, zeitweise auf dem Bau arbeiten konnte und in Kosovo ein familiäres Beziehungsnetz hat.</w:t>
      </w:r>
    </w:p>
    <w:p>
      <w:r>
        <w:rPr>
          <w:b/>
        </w:rPr>
        <w:t>E. 5.3</w:t>
      </w:r>
    </w:p>
    <w:p>
      <w:r>
        <w:t>Der Vollzug ist schliesslich nach Art. 83 Abs. 2 AuG als möglich zu bezeichnen, weil es dem Beschwerdeführer obliegt, sich bei der zuständigen Vertretung seines Heimatstaates die für eine Rückkehr notwendigen Reisedokumente zu beschaffen (Art. 8 Abs. 4 AsylG; BVGE 2008/34 E. 12).</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Abs. 1 AsylG). Die Beschwerde ist abzuweisen, soweit darauf einzutreten ist.</w:t>
      </w:r>
    </w:p>
    <w:p>
      <w:r>
        <w:rPr>
          <w:b/>
        </w:rPr>
        <w:t>E. 7</w:t>
      </w:r>
    </w:p>
    <w:p>
      <w:r>
        <w:t>In Ablehnung der Gesuche um unentgeltliche Rechtspflege und um Beiordnung eines amtlichen Rechtsbeistanden wegen Aussichtslosigkeit der Begehren (Art. 65 Abs. 1 sowie Art. 110a Abs. 1 Bst. a AsylG) sind die Kosten des vorliegenden Verfahrens dem Beschwerdeführer aufzuerlegen (Art. 63 Abs. 1 und 5 VwVG) und auf insgesamt Fr. 600.- festzusetzen (Art. 1 - 3 des Reglements vom 21. Februar 2008 über die Kosten und Entschädigungen vor dem Bundesverwaltungsgericht [VGKE, SR 173.320.2]). Das Gesuch um Verzicht auf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