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E-7126/2014 vom 11. Dezember 2014</w:t>
      </w:r>
    </w:p>
    <w:p>
      <w:r>
        <w:t>Bundesverwaltungsgericht, 2014-12-11, DE</w:t>
      </w:r>
    </w:p>
    <w:p>
      <w:r>
        <w:rPr>
          <w:b/>
        </w:rPr>
        <w:t xml:space="preserve">Quelle: </w:t>
      </w:r>
      <w:r>
        <w:t>https://mcp.opencaselaw.ch/entscheid/bvger_E-7126_2014</w:t>
      </w:r>
    </w:p>
    <w:p>
      <w:r>
        <w:t>FR: TAF E-7126/2014 du 11 décembre 2014</w:t>
      </w:r>
    </w:p>
    <w:p>
      <w:r>
        <w:t>IT: TAF E-7126/2014 del 11 dicembre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zugunsten ihres Bruders legitimiert (Art. 105 und 108 Abs. 1 AsylG; Art. 48 Abs. 1 sowie Art. 52 Abs. 1 VwVG).</w:t>
      </w:r>
    </w:p>
    <w:p>
      <w:r>
        <w:rPr>
          <w:b/>
        </w:rPr>
        <w:t>E. 1.3</w:t>
      </w:r>
    </w:p>
    <w:p>
      <w:r>
        <w:t>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Wurden die anspruchsberechtigten Personen nach Absatz 1 durch die Flucht getrennt und befinden sie sich im Ausland, so ist ihre Einreise auf Gesuch hin zu bewilligen.</w:t>
      </w:r>
    </w:p>
    <w:p>
      <w:r>
        <w:rPr>
          <w:b/>
        </w:rPr>
        <w:t>E. 4.1</w:t>
      </w:r>
    </w:p>
    <w:p>
      <w:r>
        <w:t>Art. 51 AsylG hat heute - unter dem Randtitel "Familienasyl" - folgenden Wortlaut: 1 Ehegatten von Flüchtlingen und ihre minderjährigen Kinder werden als Flüchtlinge anerkannt und erhalten Asyl, wenn keine besonderen Umstände dagegen sprechen. 1bis Hat das BFM während des Asylverfahrens Anhaltspunkte dafür, dass ein Ungültigkeitsgrund nach Artikel 105 Ziffer 5 oder 6 des Zivilgesetzbuchs (ZGB) vorliegt, so meldet es dies der nach Artikel 106 ZGB zuständigen Behörde. Das Verfahren wird bis zur Entscheidung dieser Behörde sistiert. Erhebt die Behörde Klage, so wird das Verfahren bis zum Vorliegen des rechtskräftigen Urteils sistiert. 2 ... 3 In der Schweiz geborene Kinder von Flüchtlingen werden auch als Flüchtlinge anerkannt, sofern keine besonderen Umstände dagegen sprechen.</w:t>
      </w:r>
    </w:p>
    <w:p>
      <w:r>
        <w:rPr>
          <w:b/>
        </w:rPr>
        <w:t>E. 4.2</w:t>
      </w:r>
    </w:p>
    <w:p>
      <w:r>
        <w:t>Die Bestimmung von Art. 51 aAbs. 2 AsylG wurde mit der am 1. Feb­ruar 2014 in Kraft getretenen Asylgesetzesrevision vom 14. Dezember 2012 aufgehoben (AS 2013 4375, 5357). Die aufgehobene Bestimmung hatte den folgenden Wortlaut: 2 Andere nahe Angehörige von in der Schweiz lebenden Flüchtlingen können in das Familienasyl eingeschlossen werden, wenn besondere Gründe für die Familienvereinigung sprechen.</w:t>
      </w:r>
    </w:p>
    <w:p>
      <w:r>
        <w:rPr>
          <w:b/>
        </w:rPr>
        <w:t>E. 4.3</w:t>
      </w:r>
    </w:p>
    <w:p>
      <w:r>
        <w:t>Die in Kapitel III der Änderung vom 14. Dezember 2012 enthaltenen Übergangsbestimmungen sehen vor, dass für die im Zeitpunkt des Inkrafttretens der Änderung vom 14. Dezember 2012 dieses Gesetzes - also am 1. Februar 2014 - hängigen Verfahren das neue Recht gilt.</w:t>
      </w:r>
    </w:p>
    <w:p>
      <w:r>
        <w:rPr>
          <w:b/>
        </w:rPr>
        <w:t>E. 4.4</w:t>
      </w:r>
    </w:p>
    <w:p>
      <w:r>
        <w:t>Das Bundesverwaltungsgericht hat in seinem Grundsatzurteil D-1590/2014 vom 8. Dezember 2014 (zur Publikation vorgesehen) einerseits festgestellt, dass die erwähnte Übergangsbestimmung nach dem Willen des Gesetzgebers auch für am 1. Februar 2014 erstinstanzliche Gesuche gemäss Art. 51 aAbs. 2 AsylG gilt (vgl. E. 6.3-6.5); andererseits hat das Gericht im Grundsatzurteil die Frage des Vorliegens einer unzulässigen Rück­wirkung geprüft und verneint (vgl. E. 6.6). All dies hat die Konsequenz, dass Art. 51 aAbs. 2 AsylG für die am 1. Februar 2014 hängigen Verfahren nicht mehr zur Anwendung gelangen kann beziehungsweise entsprechende Gesuche um Familiennachzug von diesem Zeitpunkt an dahinfallen beziehungsweise gegenstandslos werden.</w:t>
      </w:r>
    </w:p>
    <w:p>
      <w:r>
        <w:rPr>
          <w:b/>
        </w:rPr>
        <w:t>E. 5.1</w:t>
      </w:r>
    </w:p>
    <w:p>
      <w:r>
        <w:t>Die Beschwerdeführerin hatte - rund eine Woche vor Aufhebung dieser Norm - ein Gesuch um Familiennachzug gestellt, welches unbestrittenermassen (vgl. Gesuch vom 24. Januar 2014 S. ff. insbes. S. 8) auf Art. 51 aAbs. 2 AsylG abgestützt war. Das BFM hätte diese Eingabe, wie soeben ausgeführt, nach dem 1. Februar 2014 nicht mehr materiell behandeln dürfen.</w:t>
      </w:r>
    </w:p>
    <w:p>
      <w:r>
        <w:rPr>
          <w:b/>
        </w:rPr>
        <w:t>E. 5.2</w:t>
      </w:r>
    </w:p>
    <w:p>
      <w:r>
        <w:t>Der Vollständigkeit halber kann an dieser Stelle festgehalten werden, dass die Anwendung der aufgehobenen Bestimmung vom BFM inhaltlich überzeugend begründet worden ist und den insoweit praxiskonform erscheinenden materiellen Erwägungen in der Beschwerde offensichtlich nichts Stichhaltiges entgegengehalten worden wäre.</w:t>
      </w:r>
    </w:p>
    <w:p>
      <w:r>
        <w:rPr>
          <w:b/>
        </w:rPr>
        <w:t>E. 6</w:t>
      </w:r>
    </w:p>
    <w:p>
      <w:r>
        <w:t>Aus diesen Erwägungen ergibt sich, dass die angefochtene Verfügung Bundesrecht insofern verletzt (Art. 106 Abs. 1 AsylG), als das BFM zu Unrecht eine materielle Prüfung des Gesuchs um Familiennachzug gestützt auf die Bestimmung von Art. 51 aAbs. 2 AsylG vorgenommen hat. Auf die entsprechenden Beschwerdeausführungen ist folglich nicht weiter einzugehen. Die Beschwerde ist abzuweisen.</w:t>
      </w:r>
    </w:p>
    <w:p>
      <w:r>
        <w:rPr>
          <w:b/>
        </w:rPr>
        <w:t>E. 7</w:t>
      </w:r>
    </w:p>
    <w:p>
      <w:r>
        <w:t>Bei diesem Ausgang des Verfahrens wären dessen Kosten grundsätzlich der Beschwerdeführerin aufzuerlegen (Art. 63 Abs. 1 VwVG). Angesichts der Tatsache, dass ihr das vor wenigen Tagen ausgefällte Grundsatzurteil des Bundesverwaltungsgerichts (vgl. oben, E. 4.4) noch nicht bekannt sein konnte, ist von einer Kostenauflage anzusehen (Art. 63 Abs. 1 Satz 3 VwVG, Art. 6 Bst. b des Reglements vom 21. Februar 2008 über die Kosten und Entschädigungen vor dem Bundesverwaltungsgericht (VGKE, SR 173.320.2). Damit wird das Gesuch um Gewährung der unentgeltlichen Prozessführung ebenso gegenstandslos wie - angesichts des vorliegenden direkten Entscheids in der Sache - der Antrag auf Befreiung von der Kostenvorschusspflicht.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