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E-7125/2018 vom 29. September 2020</w:t>
      </w:r>
    </w:p>
    <w:p>
      <w:r>
        <w:t>Bundesverwaltungsgericht, 2020-09-29, DE</w:t>
      </w:r>
    </w:p>
    <w:p>
      <w:r>
        <w:rPr>
          <w:b/>
        </w:rPr>
        <w:t xml:space="preserve">Quelle: </w:t>
      </w:r>
      <w:r>
        <w:t>https://mcp.opencaselaw.ch/entscheid/bvger_E-7125_2018</w:t>
      </w:r>
    </w:p>
    <w:p>
      <w:r>
        <w:t>FR: TAF E-7125/2018 du 29 septembre 2020</w:t>
      </w:r>
    </w:p>
    <w:p>
      <w:r>
        <w:t>IT: TAF E-7125/2018 del 29 settembre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bildet nicht mehr Gegenstand der Beschwerde, nachdem die Vorinstanz die vorläufige Aufnahme angeordnet hat.</w:t>
      </w:r>
    </w:p>
    <w:p>
      <w:r>
        <w:rPr>
          <w:b/>
        </w:rPr>
        <w:t>E. 3.3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(vgl. Art. 3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5.1</w:t>
      </w:r>
    </w:p>
    <w:p>
      <w:r>
        <w:t>Die Vorinstanz kommt in der angefochtenen Verfügung zum Schluss, die Vorbringen der Beschwerdeführerin würden den Anforderungen an die Flüchtlingseigenschaft nicht standhalten. So sei sie letztmals im (...) gesucht worden und erst (...) Jahre später ausgereist, womit es an einem zeitlichen und sachlichen Kausalzusammenhang zwischen den Suchaktionen der Behörden und der Ausreise aus Eritrea fehle. Zudem sei aufgrund des Verhaltens der Beschwerdeführerin in diesem Zeitraum - namentlich freiwillige und dreijährige Anstellung bei den Behörden im Militärlager von G._______ - nicht von einer ausreichend intensiven staatlichen Verfolgung auszugehen. Schliesslich würden erschwerte wirtschaftliche und soziale Bedingungen sowie eine illegale Ausreise für sich alleine keine Asylrelevanz zu begründen vermögen.</w:t>
      </w:r>
    </w:p>
    <w:p>
      <w:r>
        <w:rPr>
          <w:b/>
        </w:rPr>
        <w:t>E. 5.2</w:t>
      </w:r>
    </w:p>
    <w:p>
      <w:r>
        <w:t>Die Beschwerdeführerin stellt dem auf Beschwerdeebene entgegen, sie hätte sich am neuen Wohnort nicht anmelden können. Wenn eine Person aufgrund asylrelevanter Verfolgung Zuflucht in einem anderen Landesteil finde, dieser Ort sich dann aber nach einer gewissen Zeit nicht mehr als zumutbare Aufenthaltsalternative erweise, weil grundlegende Bedürfnisse nicht befriedigt werden könnten, lasse sich die Asylrelevanz der Vorbringen nicht - wie von der Vorinstanz behauptet - einfach aufgrund der zeitlichen Spanne zwischen Verfolgung und Ausreise leugnen. Ferner würden die eritreischen Behörden nicht so zentralisiert, koordiniert und einheitlich arbeiten, weshalb davon auszugehen sei, dass die Behörden in G._______ keine Kenntnis von den Problemen ihres Mannes gehabt hätten. Im Übrigen interessiere es den Arbeitgeber auch nicht, ob eine vom Militärdienst befreite Frau angemeldet sei oder wer ihr Mann sei. Schliesslich habe es die Vorinstanz unterlassen, ihre illegale Ausreise im Sine der Rechtsprechung des Bundesverwaltungsgerichts im Gesamtkontext zu würdigen.</w:t>
      </w:r>
    </w:p>
    <w:p>
      <w:r>
        <w:rPr>
          <w:b/>
        </w:rPr>
        <w:t>E. 6.1</w:t>
      </w:r>
    </w:p>
    <w:p>
      <w:r>
        <w:t>Nach Prüfung der Akten durch das Gericht ist in Übereinstimmung mit der Vorinstanz festzustellen, dass die Asylvorbringen der Beschwerdeführerin den Anforderungen an die Flüchtlingseigenschaft gemäss Art. 3 AsylG nicht standzuhalten vermögen, weshalb vorab auf die zutreffenden Erwägungen der Vorinstanz zu verweisen ist, die ihre Argumentation nicht - wie auf Beschwerdeebene behauptet - lediglich auf den fehlenden zeitlichen Kausalzusammenhang stützt. Vielmehr hat sie alle Vorbringen in deren Gesamtheit zutreffend und ausreichend gewürdigt. Was die Vorfluchtgründe anbelangt trifft namentlich zu, dass Probleme bei der Einschulung oder wirtschaftlicher Natur keine Asylrelevanz zu entfalten vermögen, was auch in Bezug auf Lebensmittelcoupons zutrifft. Hinzu kommt, dass die geschilderten Vorbringen keine ausreichende Intensität aufweisen, was die Vorinstanz ebenfalls zutreffend in ihre Erwägungen miteinbezogen hat. So wurde die Beschwerdeführerin nach dem Untertauchen ihres Mannes nur einmal persönlich von den Behörden aufgesucht (SEM-Akten A39 F73 ff. und F81). Dass danach erneut nach ihr gesucht worden sein soll, will sie lediglich durch Drittpersonen (Eltern und Vermieterin) erfahren haben. Es kann dahingestellt bleiben, ob Vorbringen, die sich auf Informationen Dritter stützen, den Anforderungen an eine Verfolgung im asylrechtlichen Sinne genügen (vgl. hierzu Urteile des BVGer E-801/2015 vom 6. Oktober 2017 E. 3.7, E-4329/2006 vom 17. Oktober 2011 E. 4.4), gehen die letzten Suchaktionen doch ebenfalls auf (...) zurück und wurden keine konkreten späteren Nachstellungen geltend gemacht (z. B. SEM-Akten A39 F85). Es ist jedenfalls davon auszugehen, dass die Beschwerdeführerin bereits seit längerer Zeit vor ihrer Ausreise nicht mehr wegen ihres Mannes gesucht worden war. Diese Schlussfolgerung wird dadurch untermauert, dass die Beschwerdeführerin nach den Suchaktionen nicht nur (...) Jahre unbehelligt in Eritrea leben konnte, sondern in dieser Zeit sogar bei den Militärbehörden in G._______ für drei Jahre angestellt wurde. Bereits die Tatsache, dass sie sich dort überhaupt beworben hat, zeugt - ungeachtet der Distanz zu F._______ - davon, dass sie zu diesem Zeitpunkt keine Nachteile wegen dem Verschwinden ihres Mannes oder eines allfälligen Militärdienstaufgebots zu befürchten hatte. Letzteres machte sie im Übrigen auch nie geltend. Vor diesem Hintergrund erübrigen sich Ausführungen zur Arbeitsweise der eritreischen Behörden und es ist zu bestätigen, dass die Vorinstanz zutreffend von einem fehlenden Kausalzusammenhang zwischen den letzten Suchaktionen im (...) und der Ausreise im Oktober 2014 ausgegangen ist. Den Beschwerdeausführungen zufolge war es der Beschwerdeführerin sodann auch möglich, bis zur Einschulung ihres Sohnes beziehungsweise bis zur Ausreise vor Ort ein menschenwürdiges Leben zu führen (Beschwerde S. 4). Zusammenfassend besteht kein Grund zur Annahme, eine asylrelevante Verfolgung hätte sich - im Zeitpunkt der Ausreise - mit beachtlicher Wahrscheinlichkeit und in absehbarer Zeit verwirklicht beziehungsweise werde sich - auch aus heutiger Sicht - mit ebensolcher Wahrscheinlichkeit in absehbarer Zukunft wegen des Verschwindens ihres Ehemannes verwirklichen.</w:t>
      </w:r>
    </w:p>
    <w:p>
      <w:r>
        <w:rPr>
          <w:b/>
        </w:rPr>
        <w:t>E. 6.2</w:t>
      </w:r>
    </w:p>
    <w:p>
      <w:r>
        <w:t>Was die Nachfluchtgründe anbelangt, hat die Vorinstanz ebenfalls zutreffend festgestellt, dass die illegale Ausreise der Beschwerdeführerin und ihres Sohnes nicht zur Bejahung der Flüchtlingseigenschaft führt. So kam das Bundesverwaltungsgericht im Referenzurteil D-7898/2015 vom 30. Januar 2017 nach eingehender Lageanalyse zum Schluss, die bisherige Praxis, wonach eine illegale Ausreise per se zur Flüchtlingseigenschaft führte, könne nicht mehr aufrechterhalten werden. Es sei nicht mit überwiegender Wahrscheinlichkeit davon auszugehen, einer Person drohe einzig aufgrund ihrer illegalen Ausreise aus Eritrea eine asylrelevante Verfolgung. Nicht asylrelevant sei auch die drohende Einteilung in den Nationaldienst nach der Rückkehr; ob eine drohende Einziehung in den Nationaldienst unter dem Blickwinkel von Art. 3 EMRK und Art. 4 EMRK relevant sein könnte, betreffe die Frage der Zulässigkeit respektive Zumutbarkeit des Wegweisungsvollzugs (der vorliegend jedoch nicht Gegenstand des Beschwerdeverfahrens ist).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a.a.O. E. 5.1 f.). Nachdem vorliegend festgestellt wurde, dass nicht davon auszugehen ist, die Beschwerdeführerin werde wegen ihres Ehemannes seitens der Behörden künftig noch behelligt, liegt auch kein diesbezüglicher Anknüpfungspunkt vor. Weitere Anknüpfungspunkte sind den Akten keine zu entnehmen. Die entsprechenden Beschwerdeausführungen gehen ins Leere.</w:t>
      </w:r>
    </w:p>
    <w:p>
      <w:r>
        <w:rPr>
          <w:b/>
        </w:rPr>
        <w:t>E. 6.3</w:t>
      </w:r>
    </w:p>
    <w:p>
      <w:r>
        <w:t>Angesichts der aufgezeigten Sachlage ist festzustellen, dass die Vorinstanz zu Recht das Vorliegen sowohl von Vorflucht- als auch von Nachfluchtgründen verneint und das Asylgesuch abgelehnt hat.</w:t>
      </w:r>
    </w:p>
    <w:p>
      <w:r>
        <w:rPr>
          <w:b/>
        </w:rPr>
        <w:t>E. 7</w:t>
      </w:r>
    </w:p>
    <w:p>
      <w:r>
        <w:t>Gemäss Art. 44 AsylG verfügt das SEM in der Regel die Wegweisung aus der Schweiz, wenn es das Asylgesuch ablehnt oder darauf nicht eintritt. Die Beschwerdeführerin und ihre Kinder verfügen weder über eine ausländerrechtliche Aufenthaltsbewilligung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Bei diesem Ausgang des Verfahrens wären die Kosten der Beschwerdeführerin aufzuerlegen (Art. 63 Abs. 1 VwVG; Art. 1-3 des Reglements vom 21. Februar 2008 über die Kosten und Entschädigungen vor dem Bundesverwaltungsgericht [VGKE, SR 173.320.2]). Sie stellt indes ein Gesuch um unentgeltliche Prozessführung im Sinne von Art. 65 Abs. 1 VwVG. Da die gesetzlichen Voraussetzungen gegeben sind,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