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E-7121/2023 vom 6. Februar 2024</w:t>
      </w:r>
    </w:p>
    <w:p>
      <w:r>
        <w:t>Bundesverwaltungsgericht, 2024-02-06, DE</w:t>
      </w:r>
    </w:p>
    <w:p>
      <w:r>
        <w:rPr>
          <w:b/>
        </w:rPr>
        <w:t xml:space="preserve">Quelle: </w:t>
      </w:r>
      <w:r>
        <w:t>https://mcp.opencaselaw.ch/entscheid/bvger_E-7121_2023</w:t>
      </w:r>
    </w:p>
    <w:p>
      <w:r>
        <w:t>FR: TAF E-7121/2023 du 6 février 2024</w:t>
      </w:r>
    </w:p>
    <w:p>
      <w:r>
        <w:t>IT: TAF E-7121/2023 del 6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(Art. 108 Abs. 3 AsylG und Art. 52 Abs. 1 VwVG) und die Beschwerdeführenden sind zur Beschwerde legitimiert (Art. 48 Abs. 1 VwVG). Auf die Beschwerde ist einzutreten.</w:t>
      </w:r>
    </w:p>
    <w:p>
      <w:r>
        <w:rPr>
          <w:b/>
        </w:rPr>
        <w:t>E. 1.4</w:t>
      </w:r>
    </w:p>
    <w:p>
      <w:r>
        <w:t>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und tritt, nachdem der betreffende Mitgliedstaat einer Überstellung oder Rücküberstellung zugestimmt hat, auf das Asylgesuch nicht ein (vgl. BVGE 2017 VI/5 E. 6.2).</w:t>
      </w:r>
    </w:p>
    <w:p>
      <w:r>
        <w:rPr>
          <w:b/>
        </w:rPr>
        <w:t>E. 4.1</w:t>
      </w:r>
    </w:p>
    <w:p>
      <w:r>
        <w:t>In der angefochtenen Verfügung hält das SEM fest, die kroatischen Behörden hätten dem Ersuchen um Übernahme der Beschwerdeführenden zugestimmt (ebd. S. 5, erster Absatz). Wie das Bundesverwaltungsgericht in seinem Urteil E-4932/2023 vom 21. September 2023 bereits ausgeführt hat, konnte dieser Schluss vorbehaltlos weder aus dem Schreiben der kroatischen Behörden betreffend B._______ und die Kinder noch aus jenem betreffend A._______, beide vom 29. August 2023, gezogen werden. Auch jenes betreffend A._______ enthält im ersten Absatz die Aussage, dass das Ersuchen um Übernahme akzeptiert werde, und in einem zweiten Abschnitt, dass es abgelehnt werde (A38). Eine Klärung hätte sich folglich auch bezüglich des Schreibens der kroatischen Behörden betreffend A._______ aufgedrängt. Indem das SEM am 26. September 2023 seine Anfrage an die kroatischen Behörden zur Klärung einzig auf das Schreiben betreffend B._______ und die Kinder bezog beziehungsweise nach der entsprechenden Antwort der kroatischen Behörden vom 13. Dezember 2023 nicht auch hinsichtlich A._______ Rückfragen tätigte, ist es der Anweisung im Urteil E-4932/2023 nicht nachgekommen, sodass sich der Sachverhalt nach wie vor als nicht vollständig erstellt erweist. Die Vorinstanz wird angewiesen, die kroatischen Behörden auch in Bezug auf A._______ anzufragen, ob das Schreiben vom 29. August 2023 als Zustimmung seiner Übernahme zu verstehen ist.</w:t>
      </w:r>
    </w:p>
    <w:p>
      <w:r>
        <w:rPr>
          <w:b/>
        </w:rPr>
        <w:t>E. 4.2</w:t>
      </w:r>
    </w:p>
    <w:p>
      <w:r>
        <w:t>Nach dem Gesagten ist die angefochtene Verfügung in Gutheissung der Beschwerde aufzuheben und die Sache zur korrekten Feststellung des rechtserheblichen Sachverhalts und zu neuer Entscheidung an die Vorin- stanz zurückzuweisen.</w:t>
      </w:r>
    </w:p>
    <w:p>
      <w:r>
        <w:rPr>
          <w:b/>
        </w:rPr>
        <w:t>E. 5.1</w:t>
      </w:r>
    </w:p>
    <w:p>
      <w:r>
        <w:t>Bei diesem Ausgang des Verfahrens sind keine Kosten zu erheben (Art. 63 Abs. 1 und 2 VwVG).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800.- zuzusprechen.</w:t>
      </w:r>
    </w:p>
    <w:p>
      <w:r>
        <w:rPr>
          <w:b/>
        </w:rPr>
        <w:t>E. 5.2</w:t>
      </w:r>
    </w:p>
    <w:p>
      <w:r>
        <w:t>Die Anträge um Gewährung der unentgeltlichen Prozessführung und Verzicht auf die Erhebung eines Kostenvorschusses erweisen sich als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