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E-7121/2013 vom 27. Januar 2014</w:t>
      </w:r>
    </w:p>
    <w:p>
      <w:r>
        <w:t>Bundesverwaltungsgericht, 2014-01-27, DE</w:t>
      </w:r>
    </w:p>
    <w:p>
      <w:r>
        <w:rPr>
          <w:b/>
        </w:rPr>
        <w:t xml:space="preserve">Quelle: </w:t>
      </w:r>
      <w:r>
        <w:t>https://mcp.opencaselaw.ch/entscheid/bvger_E-7121_2013</w:t>
      </w:r>
    </w:p>
    <w:p>
      <w:r>
        <w:t>FR: TAF E-7121/2013 du 27 janvier 2014</w:t>
      </w:r>
    </w:p>
    <w:p>
      <w:r>
        <w:t>IT: TAF E-7121/2013 del 27 gennaio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Bundesversammlung änderte am 28. September 2012 gestützt auf Art. 165 Abs. 1 der Bundesverfassung der Schweizerischen Eidgenossenschaft vom 18. April 1999 (BV, SR 101) das AsylG durch den Erlass eines dringlichen Bundesgesetzes. Diese Änderungen traten am darauffolgenden Tag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nach neuem Recht diese Frist auch für Verfügungen des BFM nach Art. 40 i.V.m. Art. 6a Abs. 2 Bst. a AsylG. Dabei handelt es sich - im Gegensatz zu formellen Nichteintretensentscheiden nach Art. 34 Abs. 1 i.V.m. Art. 6a Abs. 2 Bst. a AsylG - um materielle negative Entscheide betreffend Asylsuchende aus verfolgungssicheren Staaten (sog. Safe Countries), welche ohne weitere Abklärungen erlassen werden, weil aufgrund der Anhörung offenkundig geworden ist, dass die Asylsuchenden ihre Flüchtlingseigenschaft weder beweisen noch glaubhaft machen können und ihrer Wegweisung keine Gründe entgegenstehen. Art. 40 AsylG betrifft somit den Fall, dass nach der Anhörung keine weiteren Abklärungen zur Beurteilung der Flüchtlingseigenschaft und der Wegweisung sowie deren Vollzug notwendig sind. Hingegen steht die Bestimmung einer detaillierten Auseinandersetzung mit den Vorbringen der asylsuchenden Person nicht entgegen; vielmehr ist jene aufgrund der Begründungspflicht des BFM und mit Blick auf das Recht auf wirksame Beschwerde geboten, wenngleich Art. 40 Abs. 2 AsylG eine summarische Begründung genügen lässt.</w:t>
      </w:r>
    </w:p>
    <w:p>
      <w:r>
        <w:rPr>
          <w:b/>
        </w:rPr>
        <w:t>E. 3.2</w:t>
      </w:r>
    </w:p>
    <w:p>
      <w:r>
        <w:t>Gemäss langjähriger Rechtsprechung der Schweizerischen Asylrekurskommission (ARK) und des Bundesverwaltungsgerichts muss zwingend ein Nichteintretensentscheid ergehen, wenn der Tatbestand einer derzeit noch gültigen Nichteintretensbestimmung i.S.v. Art. 32-34 AsylG erfüllt ist. Das BFM darf in einem solchen Fall nicht materiell über das Gesuch entscheiden. Dies ergibt sich daraus, dass die gesetzlichen Nichteintretenstatbestände der Art. 32-34 AsylG nicht als "Kann-Bestimmungen" formuliert sind und somit dem BFM bei Vorliegen der Voraussetzungen keinen Ermessensspielraum einräumen (vgl. Urteil des Bundesverwaltungsgerichts BVGE 2013/10 E. 4.1; Entscheidungen und Mitteilungen der Schweizerischen Asylrekurskommission [EMARK] 2002 Nr. 15 E. 5c). Ob von dieser Regel dort abgewichen werden kann, wo das Asylgesetz - zufolge einer unkoordinierten Vorgehensweise des Gesetzgebers bei der Inkraftsetzung beziehungsweise Aufhebung von Gesetzesbestimmungen - beim gleichen Tatbestand (unbegründete Gesuche von Asylsuchenden aus verfolgungssicheren Herkunftsstaaten) sowohl ein Nichteintreten (Art. 34 Abs. 1 AsylG) als auch einen materiellen Ablehnungsentscheid (Art. 40 i.V.m. Art. 6a Abs. 2 AsylG) kennt, kann offenbleiben. Aus der neuen Gesetzesbestimmung, die für unbegründete Gesuche von Asylsuchenden aus verfolgungssicheren Herkunftsstaaten nun materielle Ablehnungsentscheide zulässt beziehungsweise verlangt, ist den Beschwerdeführenden jedenfalls kein Nachteil erwachsen. Vielmehr ist ihnen der verfahrensmässige Vorteil einer materiellen Beurteilung - bei Gesuchen von Asylsuchenden aus verfolgungssicheren Herkunftsstaaten gemäss Art. 6a Abs. 2 Bst. a AsylG wird lediglich geprüft, ob Hinweise auf Verfolgung vorliegen (Art. 34 Abs. 1 AsylG), während in einem materiellen Verfahren gemäss Art. 40 AsylG geprüft wird, ob die Flüchtlingseigenschaft weder bewiesen noch glaubhaft gemacht ist - zugekommen bei einer identischen Beschwerdefrist von fünf Arbeitstagen (vgl. Art. 108 Abs. 2 AsylG).</w:t>
      </w:r>
    </w:p>
    <w:p>
      <w:r>
        <w:rPr>
          <w:b/>
        </w:rPr>
        <w:t>E. 3.3</w:t>
      </w:r>
    </w:p>
    <w:p>
      <w:r>
        <w:t>Für den vorliegenden Fall ergibt sich somit, dass die formellen Voraussetzungen für einen Entscheid mit einer Beschwerdefrist gemäss Art. 108 Abs. 2 AsylG in der seit dem 29. September 2012 geltenden Fassung erfüllt sind: Die Beschwerdeführenden sind albanische Staatsangehörige und der Bundesrat bezeichnete mit Beschluss vom 5. Oktober 1993 Albanien als verfolgungssicheren Staat im Sinne von Art. 6a Abs. 2 Bst. a AsylG und ist auf die­se Ein­schätzung im Rahmen der periodischen Überprüfung (vgl. Art. 6a Abs. 3 AsylG) bisher nicht zurückgekommen. Zudem ist aufgrund der vollständigen und richtigen Feststellung des Sachverhalts das BFM zu Recht davon ausgegangen, dass das Verfahren nach der Anhörung ohne weitere Abklärungen spruchreif war.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gelangt das Bundesverwaltungsgericht in Übereinstimmung mit der Vorinstanz zum Schluss, dass es den Beschwerdeführenden nicht gelungen ist, nachzuweisen, dass sie in Albanien aktuell eine begründete Furcht vor ernsthaften Nachteilen im Sinne von Art. 3 AsylG haben müssen, weshalb diesbezüglich vorab auf die zutreffenden vorinstanzlichen Erwägungen zu verweisen ist. Zwar ist festzuhalten, dass die Darlegung der Ereignisse bezüglich des geltend gemachten Vorfalls, welcher die Blutfehde in Gang gesetzt hat, durchaus auf glaubhaften Schilderungen beruht und nicht auszuschliessen ist, dass dem Beschwerdeführer gemäss dem albanischen Gewohnheitsrecht Kanun Rache droht. Allerdings wird aus der vorgetragenen Sachverhaltsdarstellung nicht ersichtlich, dass die Beschwerdeführenden eine im asylrechtlichen Kontext bedeutsame Verfolgung im Heimatland zu befürchten haben, weil allfällige Racheakte seitens der Familie des Verstorbenen lediglich aus privaten Gründen zu befürchten sind. Einer privaten Fehde mangelt es am Erfordernis der flüchtlingsrechtlich relevanten Verfolgungsmotivation, da die geltend gemachten Verfolgungsmassnahmen seitens der verfeindeten [Familie] nicht aus einem in Art. 3 Abs. 1 AsylG aufgezählten Grund, sondern aus einem asylfremden Motiv erfolgen und somit asylrechtlich nicht von Belang sind. Wie im Übrigen bereits in Erwägung 3.3 festgehalten, hat der Bundesrat mit Beschluss vom 5. Oktober 1993 Albanien als verfolgungssicheren Staat im Sinne von Art. 6a Abs. 2 Bst. a AsylG bezeichnet. Dies stellt eine gesetzliche Regelvermutung dar, dass eine asylrelevante staatliche Verfolgung nicht besteht und Schutz vor nichtstaatlicher Verfolgung gewährleistet ist. Diese Vermutung kann im Einzelfall aufgrund konkreter und substanziierter Hinweise umgestossen werden. Die protokollierten Aussagen der Beschwerdeführenden sowie die in der Beschwerdeschrift aufgeführten Gründe vermögen weder den Einwand der fehlenden Asylrelevanz zu entkräften noch die erwähnte Regelvermutung umzustossen. Zudem ist dem BFM beizupflichten, wenn es festhält, dass kein Staat in der Lage sei, die Sicherheit seiner Bürgerinnen und Bürger im Falle von Übergriffen durch Dritte vollumfänglich zu gewährleisten. Schliesslich greift der Einwand des Beschwerdeführers, ihm fehle es an Geld, um in dieser Sache eine neutrale Schlichtungsstelle einzuschalten, nicht, da ihm mittels der von der Schweiz gewährten Rückkehrhilfe (vgl. Art. 62 ff. der Asylverordnung 2 über Finanzierungsfragen vom 11. August 1999 [AsylV 2, SR 142.312]) die Möglichkeit offensteht, eine Versöhnungsvereinigung aufzusuchen und den allenfalls geforderten Betrag zu leisten.</w:t>
      </w:r>
    </w:p>
    <w:p>
      <w:r>
        <w:rPr>
          <w:b/>
        </w:rPr>
        <w:t>E. 5.2</w:t>
      </w:r>
    </w:p>
    <w:p>
      <w:r>
        <w:t>Die Vorbringen sind nach dem Gesagten als nicht asylrelevant im Sinne von Art. 3 AsylG zu qualifizieren. Das BFM hat demnach die Flüchtlingseigenschaft der Beschwerdeführenden zu Recht verneint und deren Asylgesuche abgelehnt. Ob das Risiko einer allfälligen Vendetta im Hinblick auf die Zulässigkeit des Wegweisungsvollzugs (Art. 3 EMRK) relevant sein könnte, ist nachfolgend unter der Erwägung 7 zu prüfen.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Auch aus dem Umstand, dass albanische Staatsangehörige seit dem 15. Dezember 2010 für einen kurzfristigen Aufenthalt im Schengenraum (maximal 90 Tage innerhalb einer Halbjahresperiode) von der Visumpflicht - unter der Voraussetzung, dass sie im Besitze eines biometrischen Passes sind - befreit sind, kann nichts zu Gunsten der Beschwerdeführenden abgeleitet werden.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w:t>
      </w:r>
    </w:p>
    <w:p>
      <w:r>
        <w:rPr>
          <w:b/>
        </w:rPr>
        <w:t>E. 7.4.1</w:t>
      </w:r>
    </w:p>
    <w:p>
      <w:r>
        <w:t>Fraglich ist allerdings, ob der Beschwerdeführer aufgrund seiner Befürchtung, im Falle einer Ausschaffung in den Heimatstaat Opfer von Racheakten seitens der verfeindeten Familie zu werden, mit beachtlicher Wahrscheinlichkeit einer nach Art. 3 EMRK respektive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Saadi gegen Italien, Urteil vom 28. Februar 2008, Beschwerde Nr. 37201/06, §§ 124-127, m.w.H.).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EGMR, Ahmed gegen Österreich, Urteil vom 17. Dezember 1996, Beschwerde Nr. 25964/94; seither ständige Praxis). Auch bereits die ARK ging davon aus, dass die Anwendung von Art. 3 EMRK nicht voraussetzt, die drohende menschenrechtswidrige Behandlung müsse von staatlichen Organen ausgehen (vgl. EMARK 2004 Nr. 14 E. 5.b, mit Hinweis auf EMARK 1996 Nr. 18 S. 182 ff.). Was die geschützten Rechtsgüter anbelangt, so ist der Anwendungsbereich von Art. 3 EMRK enger als derjenige des Non-Refoulement-Prinzips. Er umfasst nur den Schutz vor drohender Folter, unmenschlicher Behandlung oder Strafe und anderen schwerwiegenden Verletzungen der körperlichen oder psychischen Integrität einer Person, nicht aber vor jeder Art politisch motivierter Massnahmen, die zur Asylgewährung führen können. Hingegen deckt Art. 3 EMRK auch unmenschliche Strafen als Folge gemeinrechtlicher Delikte ab.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eine "konkrete und ernsthafte Gefahr" besteht, dass die betroffene Person eine schwere Menschenrechtsverletzung erleiden wird (vgl. EGMR, Saadi gegen Italien, a.a.O.; EMARK 1996 Nr. 18 S. 186 f.). Der Gerichtshof hielt hierzu fest, dass die blosse Möglichkeit einer Misshandlung nicht zur Verletzung von Art. 3 EMRK führen kann. Es müssten stichhaltige Gründe für die Annahme vorliegen, dass die betroffene Person im Fall ihrer Auslieferung einem realen Risiko ausgesetzt sei, im betreffenden Staat Folter, unmenschlicher Behandlung oder Strafe unterworfen zu sein (vgl. EGMR, Soering gegen Vereinigtes Königreich, Urteil vom 7. Juli 1989, Beschwerde Nr. 14038/88; seither ständige Praxis).</w:t>
      </w:r>
    </w:p>
    <w:p>
      <w:r>
        <w:rPr>
          <w:b/>
        </w:rPr>
        <w:t>E. 7.4.2</w:t>
      </w:r>
    </w:p>
    <w:p>
      <w:r>
        <w:t>Wie das BFM zutreffend festhielt, kann der Beschwerdeführer im vorliegenden Fall einer allfälligen dem Art. 3 EMRK zuwiderlaufenden Behandlung seitens Dritter dadurch begegnen, dass er und seine Frau sich in einem anderen Teil Albaniens niederlassen. Eine innerstaatliche Wohnsitzalternative ist grundsätzlich immer dann gegeben, wenn eine Person nur in einem Teil oder lediglich in begrenzten Teilen ihres Heimatlandes ernsthaften Nachteilen ausgesetzt ist oder solche Nachteile zu befürchten hat, in anderen Landesteilen aber Zuflucht und Schutz finden kann. Eine Suche nach dem Beschwerdeführer seitens der verfeindeten Familie auf dem gesamten Staatsgebiet Albaniens ist als eher unwahrscheinlich einzustufen. Aufgrund der Möglichkeit einer innerstaatlichen Wohnsitzalternative ist vorliegend keine genügend konkrete Gefahr dargetan, dass sich die Blutrache mit hinreichender Wahrscheinlichkeit realisieren wird. Der Beschwerdeführer kann somit durch die Verlegung seines Wohnsitzes in eine grössere albanische Stadt, wie beispielsweise Tirana, wo ein Leben in einer gewissen Anonymität möglich ist, eine allfällige in seinem Heimatort drohende Gefahr für Leib und Leben abwenden, wodurch er durch eine Rückkehr in sein Heimatland keinem realen Risiko einer Verletzung von Art. 3 EMRK ausgesetzt ist. Im Übrigen lässt auch die allgemeine Menschenrechtssituation in Albanien den Wegweisungsvollzug zum heutigen Zeitpunkt nicht als unzulässig erscheinen. Allein aus schlechten Lebensbedingungen ergeben sich keine Gefährdung oder Bedrohung im Sinne des Art. 3 EMRK, solange die notdürftigsten Lebensgrundlagen sichergestellt sind. Vor dem Hintergrund ihrer Angaben kann jedenfalls nicht angenommen werden, dass die Beschwerdeführenden bei einer Rückführung in ihren Heimatstaat hinsichtlich existenzieller Grundbedürfnisse (etwa Nahrung, Unterkunft) einer lebensbedrohenden Situation ausgesetzt wären. Letzteres wurde von ihnen im Übrigen auch nicht behauptet.</w:t>
      </w:r>
    </w:p>
    <w:p>
      <w:r>
        <w:rPr>
          <w:b/>
        </w:rPr>
        <w:t>E. 7.4.3</w:t>
      </w:r>
    </w:p>
    <w:p>
      <w:r>
        <w:t>Nach dem Gesagten ist der Vollzug der Wegweisung sowohl im Sinne der asyl- als auch der völkerrechtlichen Bestimmungen zulässig. 7.5.1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7.5.2 Angesichts der heutigen Lage in Albanien ist gemäss konstanter Praxis nicht von einer Situation allgemeiner Gewalt oder kriegerischen respektive bürgerkriegsähnlichen Verhältnissen zu sprechen. Es bleibt zu prüfen, ob den Beschwerdeführenden aufgrund ihrer individuellen Situation eine innerstaatliche Aufenthaltsalternative in einem anderen Teil von Albanien zuzumuten ist. Aus den Akten geht hervor, dass die Beschwerdeführerin zeitlebens und der Beschwerdeführer den grössten Teil seines Lebens in Albanien verbracht haben. Namentlich steht ihnen die Möglichkeit offen, sich in der Hauptstadt Tirana, wo gemäss eigenen Angaben zufolge Verwandte von ihnen leben würden (vgl. BFM-Akten A9/9 S. 5), niederzulassen. Zudem seien sie bereits vor ihrer Ausreise aus Albanien von ihren jeweiligen Familien finanziell unterstützt worden (vgl. A4/9 S. 6, A8/13 S. 9, A9/9 S. 5), weshalb davon auszugehen ist, dass sie auch weiterhin auf einen finanziellen Beistand zählen können. Des Weiteren gab der Beschwerdeführer an, dass er bereits tageweise als (...) in Tirana gearbeitet habe (vgl. A5/10 S. 4) sowie (...) sei und im Gefängnis auch (...) gelernt habe (vgl. A8/13 S. 7). Ausserdem sei er ein [guter Arbeitnehmer], der überall Arbeit finden würde (vgl. A5/10 S. 7), weshalb anzunehmen ist, dass ihm der Berufseinstieg in seinem Heimatland gelingen wird. Überdies ist darauf hinzuweisen, dass blosse soziale und wirtschaftliche Schwierigkeiten, von denen die ansässige Bevölkerung im Allgemeinen betroffen ist, nicht genügen, um eine Gefährdung i.S.v. Art. 83 Abs. 4 AuG darzustellen (vgl. BVGE 2008/34 E. 11.2.2). (...). 7.5.3 Der Vollzug der Wegweisung nach Albanien erweist sich demnach insgesamt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den vorstehenden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Nachdem die Beschwerde nicht als aussichtslos bezeichnet werden musste und die Bedürftigkeit der Beschwerdeführenden aus den Akten hervorgeht, ist das Gesuch um Gewährung der unentgeltlichen Prozessführung gutzuheissen (vgl. Art. 65 Abs. 1 VwVG), und es sind demnach keine Verfahrenskosten zu erheben. Das Gesuch um Verzicht auf Erhebung eines Kostenvorschusses wird mit dem vorliegenden Direktentscheid in der Hauptsache ohnehin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