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E-7116/2008 vom 10. November 2009</w:t>
      </w:r>
    </w:p>
    <w:p>
      <w:r>
        <w:t>Bundesverwaltungsgericht, 2009-11-10, DE</w:t>
      </w:r>
    </w:p>
    <w:p>
      <w:r>
        <w:rPr>
          <w:b/>
        </w:rPr>
        <w:t xml:space="preserve">Quelle: </w:t>
      </w:r>
      <w:r>
        <w:t>https://mcp.opencaselaw.ch/entscheid/bvger_E-7116_2008</w:t>
      </w:r>
    </w:p>
    <w:p>
      <w:r>
        <w:t>FR: TAF E-7116/2008 du 10 novembre 2009</w:t>
      </w:r>
    </w:p>
    <w:p>
      <w:r>
        <w:t>IT: TAF E-7116/2008 del 10 novembre 2009</w:t>
      </w:r>
    </w:p>
    <w:p>
      <w:pPr>
        <w:pStyle w:val="Heading2"/>
      </w:pPr>
      <w:r>
        <w:t>Regeste</w:t>
      </w:r>
    </w:p>
    <w:p>
      <w:r>
        <w:t>Asyl und Wegweisung (Beschwerden gegen Wiedererwägungsentscheid)</w:t>
      </w:r>
    </w:p>
    <w:p>
      <w:pPr>
        <w:pStyle w:val="Heading2"/>
      </w:pPr>
      <w:r>
        <w:t>Erwägungen</w:t>
      </w:r>
    </w:p>
    <w:p>
      <w:r>
        <w:rPr>
          <w:b/>
        </w:rPr>
        <w:t>E. 1.1</w:t>
      </w:r>
    </w:p>
    <w:p>
      <w:r>
        <w:t>Das Bundesverwaltungsgericht beurteilt gemäss Art. 31 des Verwaltungsgerichtsgesetzes vom 17. Juni 2005 (VGG, SR 173.32) Beschwerden gegen Verfügungen nach Art. 5 des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Die Beschwerdeführer sind daher zur Einreichung der Beschwerde legitimiert (Art. 108 Abs. 1 AsylG sowie Art. 105 AsylG i.V.m. Art. 37 VGG und Art. 48 Abs. 1 und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Gegenstand des Verfahrens bildet die Frage des Wegweisungsvollzuges.</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4.2</w:t>
      </w:r>
    </w:p>
    <w:p>
      <w:r>
        <w:t>Die Bedingungen für einen Verzicht auf den Vollzug der Wegweisung sind alternativer Natur. Ist eine von ihnen erfüllt, ist der Vollzug der Wegweisung als undurchführbar zu betrachten und die weitere Anwesenheit in der Schweiz gemäss den Bestimmungen über die vorläufige Aufnahme zu regeln (vgl. die weiterhin geltende Rechtsprechung in Entscheidungen und Mitteilungen der Schweizerischen Asylrekurskommission [EMARK] 2006 Nr. 6 E. 4.2. mit weiteren Hinweisen).</w:t>
      </w:r>
    </w:p>
    <w:p>
      <w:r>
        <w:rPr>
          <w:b/>
        </w:rPr>
        <w:t>E. 4.3</w:t>
      </w:r>
    </w:p>
    <w:p>
      <w:r>
        <w:t>Der Vollzug der Wegweisung erweist sich für Ausländerinnen und Ausländer dann als unzumutbar, wenn sie im Heimat- oder Herkunftsstaat auf Grund von Situationen wie Krieg, Bürgerkrieg, allgemeiner Gewalt und medizinischer Notlage konkret gefährdet sind (Art. 83 Abs. 4 AuG).</w:t>
      </w:r>
    </w:p>
    <w:p>
      <w:r>
        <w:rPr>
          <w:b/>
        </w:rPr>
        <w:t>E. 4.3.1</w:t>
      </w:r>
    </w:p>
    <w:p>
      <w:r>
        <w:t>Sind von einem Vollzug der Wegweisung Kinder betroffen, so bildet im Rahmen der Zumutbarkeitsprüfung das Kindeswohl einen Gesichtspunkt von gewichtiger Bedeutung. Unter dem Aspekt des Kindeswohls sind sämtliche Umstände einzubeziehen und zu würdigen, die im Hinblick auf eine Wegweisung wesentlich erscheinen (EMARK 1998 Nr. 13 E. 5e.aa). Erschwerte (Re-)Integrationsmöglichkeiten im Heimatstaat infolge einer fortgeschrittenen Assimilierung des Kindes in der Schweiz können zur Feststellung der Unzumutbarkeit des Wegweisungsvollzuges der ganzen Familie führen (EMARK 2005 Nr. 6 E. 6.2., 1998 Nr. 31 E. 8c.ff.ccc).</w:t>
      </w:r>
    </w:p>
    <w:p>
      <w:r>
        <w:rPr>
          <w:b/>
        </w:rPr>
        <w:t>E. 4.3.2</w:t>
      </w:r>
    </w:p>
    <w:p>
      <w:r>
        <w:t>In Berücksichtigung dieser Rechtsprechung ist insbesondere die Situation der älteren Tochter der Beschwerdeführenden zu würdigen. Sie ist inzwischen 15 1/2-jährig und seit ihrem 8. Lebensjahr in der Schweiz wohnhaft. Sie ist seit Jahren in der Schweiz schulpflichtig und besucht das (...) der Kantonsschule (...). Sie ist aufgrund ihres Alters und ihres in der Schweiz verbrachten Lebensabschnittes an die schweizerische Lebensweise in erheblichem Mass durch das hiesige kulturelle und soziale Umfeld geprägt. Demgegenüber wird sie kaum über jene - namentlich schriftlichen - Kenntnisse ihrer Muttersprache verfügen, welche für sie eine adäquate Eingliederung ins Schulsystem in der Heimat vorauszusetzen wären. Auch in weiteren sozialen Bereichen wäre ihre Intergration in der Heimat in erhöhtem Masse in Frage gestellt. Es besteht demnach die konkrete Gefahr, dass die mit einem Vollzug der Wegweisung verbundene Entwurzelung aus dem gewachsenen sozialen Umfeld in der Schweiz einerseits und die sich gleichzeitig abzeichnende Problematik einer Integration in eine ihr fremde Umgebung andererseits zu Belastungen ihrer jugendlichen und adoleszenten Entwicklung führen würden, die mit dem Schutzanliegen des Kindeswohls nicht zu vereinbaren wären. Bezüglich ihrer jüngeren Schwester, die im 10. Lebensjahr steht und ebenfalls seit 7 1/2 Jahren in der Schweiz lebt, vermöchten die genannten Faktoren wohl noch nicht ein erhebliches Gewicht zu entfalten, das der Zumutbarkeit eines Wegweisungsvollzuges entgegenstehen würde. Dies kann jedoch selbstredend nicht zu Ungunsten der älteren Schwester/Tochter ausfallen. Zudem kann der älteren Tochter der Beschwerdeführenden vorliegend nicht angelastet werden, wenn die zuständigen schweizerischen Behörden - aus welchen Gründen auch immer - eine rechtskräftige Wegweisungsverfügung vom 28. April 2003 nicht in einem vertretbaren Zeitrahmen zu vollziehen vermögen. Das Gericht erachtet demnach den Vollzug der Wegweisung der Beschwerdeführenden unter Berücksichtigung dieser Gesichtspunkte und des Grundsatzes der Einheit der Familie (Art. 44 Abs. 1 AsylG; EMARK 1996 Nr. 18 E. 14e S. 189 f., EMARK 1995 Nr. 24 E. 11 S. 230 ff.) zum heutigen Zeitpunkt insgesamt als nicht zumutbar im Sinne der gesetzlichen Bestimmung. Aus den Akten ergeben sich zudem keine Hinweise auf allfällige Ausschlussgründe gemäss Art. 83 Abs. 7 AuG.</w:t>
      </w:r>
    </w:p>
    <w:p>
      <w:r>
        <w:rPr>
          <w:b/>
        </w:rPr>
        <w:t>E. 4.3.3</w:t>
      </w:r>
    </w:p>
    <w:p>
      <w:r>
        <w:t>Bei dieser Sachlage kann darauf verzichtet werden, die gemäss Aktenlage erhebliche Beeinträchtigung des Gesundheitszustandes des Beschwerdeführers sowie weitere Aspekte im Zusammenhang mit der Frage der Zumutbarkeit eines Wegweisungsvollzuges zu prüfen.</w:t>
      </w:r>
    </w:p>
    <w:p>
      <w:r>
        <w:rPr>
          <w:b/>
        </w:rPr>
        <w:t>E. 5</w:t>
      </w:r>
    </w:p>
    <w:p>
      <w:r>
        <w:t>Die Beschwerde ist somit gutzuheissen, die angefochtene Verfügung vom 24. Oktober 2008 aufzuheben und die Vorinstanz anzuweisen, die Beschwerdeführenden vorläufig in der Schweiz aufzunehmen.</w:t>
      </w:r>
    </w:p>
    <w:p>
      <w:r>
        <w:rPr>
          <w:b/>
        </w:rPr>
        <w:t>E. 6</w:t>
      </w:r>
    </w:p>
    <w:p>
      <w:r>
        <w:t>Bei diesem Verfahrensausgang sind keine Verfahrenskosten aufzuerlegen.</w:t>
      </w:r>
    </w:p>
    <w:p>
      <w:r>
        <w:rPr>
          <w:b/>
        </w:rPr>
        <w:t>E. 7</w:t>
      </w:r>
    </w:p>
    <w:p>
      <w:r>
        <w:t>Den Beschwerdeführenden ist als obsiegender Partei für die ihnen im Beschwerdeverfahren notwendigerweise entstandenen Kosten eine Parteientschädigung zuzusprechen (vgl. Art. 64 Abs. 1 VwVG i.V.m. Art. 7 Abs. 1 des Reglements vom 21. Februar 2008 über die Kosten und Entschädigungen vor dem Bundesverwaltungsgericht [VGKE, SR 173.320.2]). Der Rechtsvertreter der Beschwerdeführenden reichte keine Honorarnote ein. Vorliegend können die notwendigerweise entstandenen Parteikosten aufgrund der Akten hinreichend zuverlässig abgeschätzt werden und auf insgesamt Fr. 1000.-- (inklusive Auslagen und der Mehrwertsteuer) festzusetzen (Art. 9 Abs. 1, Art. 10 und Art. 14 Abs. 2 VGKE). Das BFM ist anzuweisen, den Beschwerdeführenden diesen Betrag als Entschädigung für das Verfahren vor dem Bundesverwaltungsgericht auszurichten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