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E-7115/2007 vom 7. September 2009</w:t>
      </w:r>
    </w:p>
    <w:p>
      <w:r>
        <w:t>Bundesverwaltungsgericht, 2009-09-07, DE</w:t>
      </w:r>
    </w:p>
    <w:p>
      <w:r>
        <w:rPr>
          <w:b/>
        </w:rPr>
        <w:t xml:space="preserve">Quelle: </w:t>
      </w:r>
      <w:r>
        <w:t>https://mcp.opencaselaw.ch/entscheid/bvger_E-7115_2007</w:t>
      </w:r>
    </w:p>
    <w:p>
      <w:r>
        <w:t>FR: TAF E-7115/2007 du 7 septembre 2009</w:t>
      </w:r>
    </w:p>
    <w:p>
      <w:r>
        <w:t>IT: TAF E-7115/2007 del 7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da sich die Beschwerde einzig gegen den Vollzug der Wegweisung richtet. Gegenstand des vorliegenden Verfahrens bildet somit die Prüfung der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Entscheidungen und Mitteilungen der Schweizerischen Asylrekurskommission [EMARK] 2006 Nr. 6).</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w:t>
      </w:r>
    </w:p>
    <w:p>
      <w:r>
        <w:t>Die ARK setzte sich in EMARK 2003 Nr. 10 einlässlich mit der aktuellen Lage in Afghanistan, insbesondere in der Hauptstadt Kabul, auseinander und umschrieb in EMARK 2003 Nr. 30 die Voraussetzungen für einen Wegweisungsvollzug nach Afghanistan. Infolge der vergleichsweise günstigeren Situation erachtete die ARK den Wegweisungsvollzug nach Kabul unter bestimmten strengen Voraussetzungen, insbesondere einem tragfähigen Beziehungsnetz und einer gesicherten Wohnsituation, als zumutbar. In EMARK 2006 Nr. 9 bestätigte und ergänzte sie ihre Rechtssprechung aus dem Jahr 2003. Zusätzlich zu Kabul erachtete die ARK den Wegweisungsvollzug in jene Regionen Afghanistans (die Provinzen Parwan, Baghlan, Takhar, Badakhshan, Kunduz, Balkh, Sari Pul, Herat und die Gegend von Samangan, die nicht zum Hazarajat zu zählen ist), in welchen seit 2004 keine signifikanten militärischen Aktivitäten stattfanden oder die keiner dauernden Unsicherheit ausgesetzt waren, unter Beachtung der in EMARK 2003 Nr. 10 erwogenen strengen Bedingungen als grundsätzlich zumutbar. (Da vorliegend nicht von Belang, muss nicht geprüft werden, ob und gegebenenfalls in welchem Ausmasse sich die Situation in den vorge-nannten Provinzen zwischenzeitlich allenfalls verschlechtert hat.) In den übrigen östlichen, südlichen und südöstlichen Provinzen bestehe hingegen weiterhin eine allgemeine Gewaltsituation, weshalb der Wegweisungsvollzug dorthin als unzumutbar zu betrachten sei (vgl. EMARK 2006 Nr. 9 E. 7.5.3 und 7.8). Das Bundesverwaltungsgericht sieht in Berücksichtigung der jüngsten Entwicklung in Afghanistan (vgl. etwa Urteile des Bundesverwaltungsgerichtes D-4664/2006 vom 17. Juli 2009, D-4270/2006 vom 25. Juni 2009) keine Veranlassung, von dieser Lageeinschätzung abzuweichen.</w:t>
      </w:r>
    </w:p>
    <w:p>
      <w:r>
        <w:rPr>
          <w:b/>
        </w:rPr>
        <w:t>E. 5.2.1</w:t>
      </w:r>
    </w:p>
    <w:p>
      <w:r>
        <w:t>Der geltend gemachte Sachverhalt ist nur insoweit auf seine Glaubhaftigkeit zu überprüfen, als er im Hinblick auf den angefochtenen Wegweisungsvollzug bedeutsam ist. Von Bedeutung sind im vorliegenden Verfahren insbesondere die Angaben des Beschwerdeführers zu seiner Herkunft, zu seinem familiären und verwandtschaftlichen Beziehungsnetz in Afghanistan und zu seiner Flucht in den Iran. In dieser Hinsicht gilt seitens der Vorinstanz als unbestritten, dass es sich beim Beschwerdeführer um einen volljährigen afghanischen Staatsangehörigen und ethnischen Hazara mit letztem Wohnsitz in B._______ in der Provinz C._______ handelt.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w:t>
      </w:r>
    </w:p>
    <w:p>
      <w:r>
        <w:rPr>
          <w:b/>
        </w:rPr>
        <w:t>E. 5.2.2</w:t>
      </w:r>
    </w:p>
    <w:p>
      <w:r>
        <w:t>Es stellt sich die Frage, ob dem Beschwerdeführer allenfalls eine Aufenthaltsalternative in einem anderen Landesteil Afghanistans zur Verfügung steht. Die Bejahung einer zumutbaren innerstaatlichen Aufenthaltsalternative in Kabul oder in einer anderen Provinz, in der die allgemeine Situation eine Rückkehr unter bestimmten Umständen als zumutbar erscheinen liesse (vgl. EMARK 2006 Nr. 9), setzt insbesondere die dortige Existenz eines tragfähigen Beziehungsnetzes sowie eine gesicherte Wohnsituation voraus. Vorliegend ist nicht davon auszugehen, dass der Beschwerdeführer in Kabul oder in einer der in EMARK 2006 Nr. 9 abschliessend aufgelisteten Provinzen über eine gesicherte Wohnsituation und ein tragfähiges Beziehungsnetz verfügt. Diese Voraussetzungen sind vorliegend nicht erfüllt, zumal sich zum einen aus den Akten mit Ausnahme von Kabul keinerlei Bezugspunkte des Beschwerdeführers zu einer anderen Provinz, in der die allgemeine Situation eine Rückkehr unter bestimmten Umständen als zumutbar erscheinen liesse, ergeben. Zum anderen erweist sich die Argumentation des BFM, der Beschwerdeführer verfüge in Kabul aufgrund seines dort wohnhaften Onkels mütterlicherseits und seines Onkels im Iran, der ihm die Ausreise finanziert habe, über eine zumutbare Aufenthaltsalternative, als nicht überzeugend. Diesbe-züglich ist festzuhalten, dass der Beschwerdeführer eigenen Angaben zufolge keine Berufsausbildung genossen und zu Hause als Schafhirte gearbeitet hat. Zudem stammt er weder aus Kabul noch hat er jemals dort gelebt. Zu seinem in Kabul wohnhaften Onkel mütterlicherseits sagte der Beschwerdeführer anlässlich der Direktanhörung vom 19. September 2009 aus, dieser sei Vater eines ungefähr (...) Sohnes und arbeite als (...). Sein Onkel habe ihm die Tazkira bisher noch nicht zugestellt, weil er kein Geld habe, er sei ein armer Mann (vgl. Akten BFM A15/11 S. 2 und 9). Daraus erhellt, dass sein in Kabul wohnhafter Onkel kaum in der Lage sein dürfte, dem Beschwerdeführer ein tragfä-higes Beziehungsnetz respektive eine gesicherte Wohnsituation zu bieten. Aufgrund der Aktenlage kann auch nicht davon ausgegangen werden, der Beschwerdeführer könnte sich mit Hilfe von mutmasslich irgendwo in Afghanistan lebenden weiteren Verwandten im Grossraum Kabul oder in einer der anderen genannten Provinzen eine Existenz-grundlage aufbauen. Des Weiteren sind den Akten entgegen den dies-bezüglichen Ausführungen des BFM in der angefochtenen Verfügung keine Anhaltspunkte dafür zu entnehmen, der im Iran wohnhafte Onkel mütterlicherseits sei wirtschaftlich in der Lage, den Beschwerdeführer nach der bereits erfolgten Ausreisefinanzierung erneut finanziell zu unterstützen und ihm in Kabul beim Aufbau einer gesicherten Wohn- und Arbeitssituation behilflich zu sein.</w:t>
      </w:r>
    </w:p>
    <w:p>
      <w:r>
        <w:rPr>
          <w:b/>
        </w:rPr>
        <w:t>E. 5.2.3</w:t>
      </w:r>
    </w:p>
    <w:p>
      <w:r>
        <w:t>Schliesslich ist festzustellen, dass ein Vollzug der Wegweisung in den Iran auszuschliessen ist, zumal sich der Beschwerdeführer eigenen Angaben zufolge illegal dort aufhielt und somit die Voraussetzungen für eine legale Wiedereinreise nicht erfüllt sind.</w:t>
      </w:r>
    </w:p>
    <w:p>
      <w:r>
        <w:rPr>
          <w:b/>
        </w:rPr>
        <w:t>E. 5.3</w:t>
      </w:r>
    </w:p>
    <w:p>
      <w:r>
        <w:t>Angesichts dieser Sachlage ist der Vollzug der Wegweisung als unzumutbar zu bezeichnen. Die Voraussetzungen für die Gewährung der vorläufigen Aufnahme sind damit erfüllt.</w:t>
      </w:r>
    </w:p>
    <w:p>
      <w:r>
        <w:rPr>
          <w:b/>
        </w:rPr>
        <w:t>E. 6</w:t>
      </w:r>
    </w:p>
    <w:p>
      <w:r>
        <w:t>Augrund der vorstehenden Erwägungen erübrigt sich eine Auseinandersetzung mit den Ausführungen in der Rechtsmitteleingabe und den am 27. Juli 2009 zur Stützung der Vorbringen eingereichten Identitätskarte im Original sowie den Fotos betreffend Mitglieder und Aktivitäten der angegebenen Jihad-Schule. Die Beschwerde ist gutzuheissen und die Dispositivziffern 4 und 5 der Verfügung vom 21. September 2007 sind aufzuheben. Das BFM ist anzuweisen, den Beschwerdeführer in der Schweiz wegen Unzumutbarkeit des Wegweisungsvollzugs vor-läufig aufzunehmen (vgl. Art. 44 Abs. 2 AsylG und Art. 83 AuG). Einer vorläufigen Aufnahme stehen keine einschränkenden gesetzlichen Tatbestände entgegen (Art. 83 Abs. 7 AuG).</w:t>
      </w:r>
    </w:p>
    <w:p>
      <w:r>
        <w:rPr>
          <w:b/>
        </w:rPr>
        <w:t>E. 7.1</w:t>
      </w:r>
    </w:p>
    <w:p>
      <w:r>
        <w:t>Bei diesem Ausgang des Verfahrens sind keine Kosten aufzuerlegen (Art. 63 Abs. 1 VwVG). Das Gesuch um Erlass der Verfahrenskosten (Art. 65 Abs. 1 VwVG) wird damit gegenstandslos.</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Aufgrund der Akten ist nicht davon auszugehen, dem nicht vertretenen Beschwerdeführer seien verhältnismässig hohe Kosten entstanden, weshalb keine Parteientschädigung zuzusprechen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