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E-7108/2016 vom 23. Juni 2017</w:t>
      </w:r>
    </w:p>
    <w:p>
      <w:r>
        <w:t>Bundesverwaltungsgericht, 2017-06-23, DE</w:t>
      </w:r>
    </w:p>
    <w:p>
      <w:r>
        <w:rPr>
          <w:b/>
        </w:rPr>
        <w:t xml:space="preserve">Quelle: </w:t>
      </w:r>
      <w:r>
        <w:t>https://mcp.opencaselaw.ch/entscheid/bvger_E-7108_2016</w:t>
      </w:r>
    </w:p>
    <w:p>
      <w:r>
        <w:t>FR: TAF E-7108/2016 du 23 juin 2017</w:t>
      </w:r>
    </w:p>
    <w:p>
      <w:r>
        <w:t>IT: TAF E-7108/2016 del 23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zum heutigen Zeitpunkt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3.3</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diesbezüglich die Dublin-III-VO zur Anwendung.</w:t>
      </w:r>
    </w:p>
    <w:p>
      <w:r>
        <w:rPr>
          <w:b/>
        </w:rPr>
        <w:t>E. 3.4</w:t>
      </w:r>
    </w:p>
    <w:p>
      <w:r>
        <w:t>Im Lichte von Art. 3 Abs. 2 Dublin-III-VO ist namentlich zu prüfen, ob es wesentliche Gründe für die Annahme gibt, das Asylverfahren und die Aufnahmebedingungen für Asylsuchende in Ungarn würden systemische Schwachstellen aufweisen, welche eine Gefahr einer unmenschlichen oder entwürdigenden Behandlung im Sinne des Art. 4 der Charta der Grundrechte der Europäischen Union (2012/C 326/02) mit sich bringen und welche die grundsätzliche Zuständigkeit Ungarns im Sinne von Art. 3 Abs. 1 Dublin-III-VO durchbrechen würden.</w:t>
      </w:r>
    </w:p>
    <w:p>
      <w:r>
        <w:rPr>
          <w:b/>
        </w:rPr>
        <w:t>E. 4.1</w:t>
      </w:r>
    </w:p>
    <w:p>
      <w:r>
        <w:t>Das Bundesverwaltungsgericht hat im Urteil D-7853/2015 vom 31. Mai 2017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 [zur Publikation als Referenzurteil vorgesehen]).</w:t>
      </w:r>
    </w:p>
    <w:p>
      <w:r>
        <w:rPr>
          <w:b/>
        </w:rPr>
        <w:t>E. 4.2</w:t>
      </w:r>
    </w:p>
    <w:p>
      <w:r>
        <w:t>Aus denselben Gründen ist es dem Gericht auch vorliegend nicht möglich, die sich im Zusammenhang mit einer Überstellung nach Ungarn stellenden Fragen abschliessend zu beurteilen. Die angefochtene Verfügung ist folglich aufzuheben und die Sache zur vollständigen Sachverhaltsfeststellung sowie zu neuer Entscheidung an die Vorinstanz zurückzuweisen. Die Beschwerde ist daher insoweit gutzuheissen.</w:t>
      </w:r>
    </w:p>
    <w:p>
      <w:r>
        <w:rPr>
          <w:b/>
        </w:rPr>
        <w:t>E. 5</w:t>
      </w:r>
    </w:p>
    <w:p>
      <w:r>
        <w:t>Bei diesem Ausgang des Verfahrens sind keine Kosten aufzuerlegen (Art. 63 Abs. 1 und 2 VwVG).</w:t>
      </w:r>
    </w:p>
    <w:p>
      <w:r>
        <w:rPr>
          <w:b/>
        </w:rPr>
        <w:t>E. 6</w:t>
      </w:r>
    </w:p>
    <w:p>
      <w:r>
        <w:t>Gemäss Art. 64 Abs. 1 VwVG kann der obsiegenden Partei von Amtes wegen oder auf Begehren eine Entschädigung für die ihr erwachsenen notwendigen und verhältnismässig hohen Kosten zugesprochen werden (vgl. Art. 7 ff. des Reglements über die Kosten und Entschädigungen vor dem Bundesverwaltungsgericht vom 21. Februar 2008 [VGKE, SR 173.320.2]). Die Rechtsvertreterin des Beschwerdeführers hat keine Kostennote eingereicht. Auf das Nachfordern einer solchen kann verzichtet werden, da sich der notwendige Vertretungsaufwand aufgrund der Akten hinreichend zuverlässig abschätzen lässt. Gestützt auf die in Betracht zu ziehenden Bemessungsfaktoren (Art. 9-13 VGKE) und in der Sache vergleichbare Verfahrensaufwände ist dem Beschwerdeführer zu Lasten der Vorinstanz eine Parteientschädigung von Fr. 700.- zuzusprechen. Dabei ist auch zu berücksichtigen, dass vorliegend das Beschwerdeverfahren am 17. November 2016 eingeleitet wurde, nachdem auf gleich oder ähnlich gelagerte Verfahrensgegenstände und seitens der Rechtsvertretung auf bereits bestandene Vorlagen von Rechtsmittelschriften zurückgegriffen werden konnte. Zudem wurde vorliegend vom Gericht kein Schriftenwechsel angeordnet.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