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E-7107/2016 vom 25. Januar 2017</w:t>
      </w:r>
    </w:p>
    <w:p>
      <w:r>
        <w:t>Bundesverwaltungsgericht, 2017-01-25, DE</w:t>
      </w:r>
    </w:p>
    <w:p>
      <w:r>
        <w:rPr>
          <w:b/>
        </w:rPr>
        <w:t xml:space="preserve">Quelle: </w:t>
      </w:r>
      <w:r>
        <w:t>https://mcp.opencaselaw.ch/entscheid/bvger_E-7107_2016</w:t>
      </w:r>
    </w:p>
    <w:p>
      <w:r>
        <w:t>FR: TAF E-7107/2016 du 25 janvier 2017</w:t>
      </w:r>
    </w:p>
    <w:p>
      <w:r>
        <w:t>IT: TAF E-7107/2016 del 25 gennaio 2017</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Mit Beschwerde in Asylsachen kann die Verletzung von Bundesrecht (einschliesslich Missbrauch und Überschreitung des Ermessens) sowie die unrichtige oder unvollständige Feststellung des rechtserheblichen Sachverhalts gerügt werden (Art. 106 Abs. 1 AsylG).</w:t>
      </w:r>
    </w:p>
    <w:p>
      <w:r>
        <w:rPr>
          <w:b/>
        </w:rPr>
        <w:t>E. 3</w:t>
      </w:r>
    </w:p>
    <w:p>
      <w:r>
        <w:t>Gemäss Art. 51 Abs. 1 AsylG werden Ehegatten von Flüchtlingen und ihre minderjährigen Kinder als Flüchtlinge anerkannt und erhalten Asyl, wenn keine besonderen Umstände dagegen sprechen. Wurden die anspruchsberechtigten Personen nach Absatz 1 durch die Flucht getrennt und befinden sie sich im Ausland, so ist ihre Einreise auf Gesuch hin zu bewilligen (Art. 51 Abs. 4 AsylG). Die Erteilung einer Einreisebewilligung setzt eine vorbestandene Familiengemeinschaft, die Trennung der Familie durch die Flucht sowie die fest beabsichtigte Familienvereinigung in der Schweiz voraus; sie dient hingegen nicht der Aufnahme von neuen oder der Wiederaufnahme von beendeten Beziehungen (BVGE 2012/32 E. 5).</w:t>
      </w:r>
    </w:p>
    <w:p>
      <w:r>
        <w:rPr>
          <w:b/>
        </w:rPr>
        <w:t>E. 4</w:t>
      </w:r>
    </w:p>
    <w:p>
      <w:r>
        <w:t>4.1 Die Vorinstanz begründet ihre Verfügung damit, dass der Beschwerdeführer weder hinsichtlich seiner Ehefrau noch seiner Kinder rechtsgenügliche Dokumente wie Identitätskarten oder Pässe eingereicht habe. Er habe auch keine Schuldokumente der Kinder oder Hochzeitsfotos eingereicht. Die eingereichte Heiratsurkunde, die Geburtsurkunden der Kinder und die Fotos hätten einen geringen Beweiswert. Die Identität der Ehefrau und der Kinder sowie die Heirat und das Familienleben seien daher nicht nachgewiesen. Zudem könne an einer schützenswerten Familiengemeinschaft gezweifelt werden, da der Beschwerdeführer lediglich zwei Monate mit seiner Frau und den Kindern zusammengelebt habe. Der Tod der leiblichen Mutter seiner Kinder sei ebenfalls nicht bestätigt.</w:t>
      </w:r>
    </w:p>
    <w:p>
      <w:r>
        <w:rPr>
          <w:b/>
        </w:rPr>
        <w:t>E. 4.2</w:t>
      </w:r>
    </w:p>
    <w:p>
      <w:r>
        <w:t>Der Beschwerdeführer macht geltend, er habe seine Ehefrau am 20. Januar 2008 geheiratet. Als Beleg diene die Hochzeitsurkunde und ein Bestätigungsschreiben des Priesters (alles im Original). Hochzeitsfotos würden fehlen, weil sie keine Fotokamera gehabt hätten. Die Behörden hätten seiner Ehefrau keine Identitätskarte ausgestellt, da er desertiert und illegal aus Eritrea ausgereist sei. Ihre Geburtsurkunde, ihr Schulzertifikat (alles im Original) sowie die Tatsache, dass sie in den Schulzeugnissen der Kinder als Vertrauensperson aufgeführt sei, würden ihre Identität allerdings belegen. Am 31. März 2008 habe er in den Militärdienst einrücken müssen. Die Trennung von seiner Familie sei demnach nicht freiwillig, sondern unter Zwang erfolgt. Seine Ehefrau und seine Mutter hätten sich danach um die Kinder gekümmert. Dies und die Identität der Kinder seien durch die eingereichten Fotos und Dokumente hinreichend belegt. Falls Zweifel am Kindsverhältnis bestünden, sei er zur Durchführung eines DNA-Tests bereit.</w:t>
      </w:r>
    </w:p>
    <w:p>
      <w:r>
        <w:rPr>
          <w:b/>
        </w:rPr>
        <w:t>E. 4.3</w:t>
      </w:r>
    </w:p>
    <w:p>
      <w:r>
        <w:t>Der Beschwerdeführer hat bereits in einem Registrationsformular des UNHCR vom 13. November 2011 angegeben, verheiratet zu sein. Im Asylverfahren und im vorliegenden Verfahren betreffend Familienzusammenführung machte er widerspruchslose Angaben zur Heirat, zur Identität seiner Ehefrau, zu den Identitäten seiner Kinder, zum Familienleben sowie zum Grund der Trennung. Die Identität der Ehefrau und der Kinder ist mit ihren Geburtsurkunden im Original und den Schuldokumenten der Kinder, in welchen die Ehefrau als Vertrauensperson aufgeführt ist, belegt. Die Erklärung des Beschwerdeführers, die eritreischen Behörden hätten seiner Ehefrau die Ausstellung einer Identitätskarte verweigert, weil er ein Deserteur und illegal ausgereist sei, ist durchaus nachvollziehbar. Als Beleg für die Heirat wurde eine Heiratsurkunde im Original eingereicht. Zudem reichte der Beschwerdeführer Fotos ein, aus denen ersichtlich ist, dass die Ehefrau mit den Kindern und der Mutter des Beschwerdeführers zusammenlebt. In Anbetracht dieser Umstände erscheinen die Angaben des Beschwerdeführers glaubhaft. Daran vermögen die Vorbringen der Vorinstanz nichts zu ändern. Ihr genereller Hinweis, Heiratsurkunden und Geburtsscheine seien leicht fälschbar und käuflich erhältlich, vermag angesichts der zahlreichen, im Original eingereichten Beweismittel und den widerspruchsfreien Angaben des Beschwerdeführers keine ernsthaften Zweifel an der Glaubhaftigkeit der Vorbringen zu wecken, zumal die Beweismittel keine offensichtlichen Fälschungsmerkmale aufweisen. Ein Hochzeitsfoto wäre zwar zur Beurteilung des Sachverhalts hilfreich gewesen, allein aus dessen Fehlen kann angesichts der obigen Ausführungen aber nicht auf die Nichtexistenz der Ehe geschlossen werden. Insgesamt sind die Angaben des Beschwerdeführers betreffend seine Ehefrau, seine Kinder sowie das Bestehen der Familiengemeinschaft vor seiner Flucht somit als glaubhaft einzustufen. Anders als von der Vorinstanz geltend gemacht, kann die Anwendung von Art. 51 Abs. 4 AsylG nicht von der Dauer der durch die Flucht getrennten Familiengemeinschaft abhängen (vgl. BVGer E-4752/2016 vom 31. August 2016 E. 4.2.1). Vielmehr ist entscheidend, ob der Beschwerdeführer und seine Ehefrau die Familiengemeinschaft aufgegeben haben. Der Beschwerdeführer wurde durch den Militärdienst und seine Flucht von der Familie getrennt. Seit er in der Schweiz ist, hat er regelmässigen telefonischen Kontakt mit seiner Familie. Von einer Aufgabe der Familiengemeinschaft kann demnach nicht die Rede sein. Dass sie sich nicht schon früher um eine Familienzusammenführung - zum Beispiel in Libyen - bemüht haben, ist angesichts der damaligen prekären Lebensumstände des Beschwerdeführers nachvollziehbar und ändert nichts daran, dass aufgrund der Akten weiterhin von einer gelebten Ehegemeinschaft auszugehen ist, die einen Familiennachzug gestützt auf Art. 51 Abs. 4 AsylG erlaubt.</w:t>
      </w:r>
    </w:p>
    <w:p>
      <w:r>
        <w:rPr>
          <w:b/>
        </w:rPr>
        <w:t>E. 5</w:t>
      </w:r>
    </w:p>
    <w:p>
      <w:r>
        <w:t>Nach dem Gesagten ist die Beschwerde gutzuheissen und die Verfügung des SEM vom 19. Oktober 2016 aufzuheben. Das SEM ist anzuweisen, B._______, C._______ und D._______ die Einreise in die Schweiz zu bewilligen und sie nach erfolgter Einreise gestützt auf Art. 51 Abs. 1 AslyG als Flüchtlinge anzuerkennen und ihnen Asyl zu gewähren, sofern sie die Flüchtlingseigenschaft nicht selbständig nach Art. 3 AsylG erfüllen (Art. 37 der Asylverordnung 1 vom 11. August 1999 [AsylV 1, SR 142.311]).</w:t>
      </w:r>
    </w:p>
    <w:p>
      <w:r>
        <w:rPr>
          <w:b/>
        </w:rPr>
        <w:t>E. 6</w:t>
      </w:r>
    </w:p>
    <w:p>
      <w:r>
        <w:t>Bei diesem Ausgang des Verfahrens sind keine Kosten zu erheben (Art. 63 Abs.1 und 2 VwVG). Das Gesuch um Verzicht auf Erhebung eines Kostenvorschusses und um Gewährung der unentgeltlichen Prozessführung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