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E-7102/2010 vom 20. Januar 2012</w:t>
      </w:r>
    </w:p>
    <w:p>
      <w:r>
        <w:t>Bundesverwaltungsgericht, 2012-01-20, DE</w:t>
      </w:r>
    </w:p>
    <w:p>
      <w:r>
        <w:rPr>
          <w:b/>
        </w:rPr>
        <w:t xml:space="preserve">Quelle: </w:t>
      </w:r>
      <w:r>
        <w:t>https://mcp.opencaselaw.ch/entscheid/bvger_E-7102_2010</w:t>
      </w:r>
    </w:p>
    <w:p>
      <w:r>
        <w:t>FR: TAF E-7102/2010 du 20 janvier 2012</w:t>
      </w:r>
    </w:p>
    <w:p>
      <w:r>
        <w:t>IT: TAF E-7102/2010 del 20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3.3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3.4</w:t>
      </w:r>
    </w:p>
    <w:p>
      <w:r>
        <w:t>Die Erteilung einer Einreisebewilligung wird restriktiv gehandhabt,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Zur Begründung seiner Verfügung stellte sich das Bundesamt im Wesentlichen auf den Standpunkt, es stehe dem Beschwerdeführer, welcher keine Beziehungen zur Schweiz habe, die Möglichkeit offen, in einem anderen Land um Asyl zu ersuchen. Namentlich könne er als türkischer Staatsangehöriger in Kroatien einreisen, wo ein rechtsstaatlich korrektes Asylverfahren gewährleistet und die Eingliederung zumutbar sei. Demnach sei gestützt auf Art. 52 Abs. 2 des Asylgesetzes vom 26. Juni 1998 (AsylG, SR 142.31) das Asyl zu verweigern. Im Weiteren sei zu berücksichtigen, dass dem Beschwerdeführer die Mitgliedschaft bei der PKK sowie Unterstützungshandlungen für diese Organisation vorgeworfen worden seien. Eine strafrechtliche Verfolgung solcher Taten sei als rechtsstaatlich legitim zu bewerten. Zudem liege es nicht im Interesse der Schweiz, potenziell gewaltbereiten Personen aus dem Umfeld der PKK eine Einreisebewilligung zu erteilen.</w:t>
      </w:r>
    </w:p>
    <w:p>
      <w:r>
        <w:rPr>
          <w:b/>
        </w:rPr>
        <w:t>E. 4.2</w:t>
      </w:r>
    </w:p>
    <w:p>
      <w:r>
        <w:t>Der Beschwerdeführer brachte zur Begründung seiner Beschwerde im Wesentlichen vor, er sei nie Mitglied der PKK gewesen und habe keine Verbindungen zu dieser Partei. Die entsprechenden Vorwürfe seitens der Behörden seien zu Unrecht erhoben worden. Ebenso würden einige der Straftaten, deren er beschuldigt werde (Herstellung von Molotow-Cocktails, Brandaschlag, Anstiftung einer jungen Frau zum Beitritt zur PKK), nicht zutreffen. Er werde wegen seines Engagements für die Parteien HADEP, DEHAP, DTP und BDP als Terrorist betrachtet und sei im Militärdienst als Vaterlandsverräter beschimpft worden. Er befürchte, jeden Moment eine Gefängnisstrafe antreten zu müssen, wodurch auch für seine Ehefrau und sein Kind Probleme entstehen würden.</w:t>
      </w:r>
    </w:p>
    <w:p>
      <w:r>
        <w:rPr>
          <w:b/>
        </w:rPr>
        <w:t>E. 5.1</w:t>
      </w:r>
    </w:p>
    <w:p>
      <w:r>
        <w:t>Gemäss Praxis des Bundesverwaltungsgerichts bildet die Flucht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Eine solch relevante Erschwerung der Lage (sog. Politmalus) ist insbesondere dann anzunehmen, wenn deswegen eine unverhältnismässig hohe Strafe ausgefällt wird (sog. Malus im absoluten Sinne) und wenn Verfahrensrechte in schwerwiegender Weise vorenthalten werden, ein signifikant höheres Folterrisiko besteht oder eine bedeutend schärfere Strafe drohen würde als bei einem Straftäter mit anderem Hintergrund (sog. Malus im relativen Sinne) (Urteile des Bundesverwaltungsgerichts E-4286/2008 vom 17. Oktober 2008 E. 4.4 und D-3417/2009 vom 24. Juni 2010 E. 4.5, mit weiteren Hinweisen).</w:t>
      </w:r>
    </w:p>
    <w:p>
      <w:r>
        <w:rPr>
          <w:b/>
        </w:rPr>
        <w:t>E. 5.2</w:t>
      </w:r>
    </w:p>
    <w:p>
      <w:r>
        <w:t>Aus den Ausführungen des Beschwerdeführers und den von ihm zu den Akten gereichten Gerichtsdokumenten ergibt sich, dass er mehrfach zu Gefängnisstrafen verurteilt wurde und mehrere gegen ihn eingeleitete Verfahren in erster oder zweiter Instanz hängig sind:</w:t>
      </w:r>
    </w:p>
    <w:p>
      <w:r>
        <w:rPr>
          <w:b/>
        </w:rPr>
        <w:t>E. 5.2.1</w:t>
      </w:r>
    </w:p>
    <w:p>
      <w:r>
        <w:t>Gestützt auf § 7/2 des Gesetzes Nr. 3713 (Antiterrorgesetz ATG) wurde er mit Urteil vom 12. Oktober 2009 zu einer Haftstrafe von zwei Jahren verurteilt, wegen Beschriftung der Wände seiner Gefängniszelle mit politischen Parolen zugunsten der PKK, und mit Urteil vom 8. März 2010 zu einer Haftstrafe von drei Jahren, aufgrund des Vorwurfs, er habe an einer Kundgebung in C._______ gegen die Operationen der türkischen Armee gegen die PKK/KONGRA-GEL teilgenommen, bei welcher Slogans zugunsten der PKK skandiert worden seien. Die im ATG kodifizierten Strafnormen dienen dem - grundsätzlich legitimen - staatlichen Rechtsgüterschutz im Bereich der Terrorismusbekämpfung. Diese rechtliche Regelung ist zwar nicht unproblematisch, da damit elementare Grundrechte (namentlich die Presse- und Meinungsäusserungsfreiheit) teilweise massiv eingeschränkt werden. Gleichzeitig muss jedoch mit Blick auf die jahrzehntelangen massiven Gewaltakte der PKK anerkannt werden, dass ein öffentliches Interesse an der Sanktionierung von Propagandatätigkeiten zugunsten der PKK und ihrer Ziele, welche häufig mit einem zumindest latenten Aufruf zu gewalttätigen Handlungen gegen Institutionen des türkischen Staates einhergehen, besteht. Unter diesem Blickwinkel erscheinen Verurteilungen gestützt auf das Antiterror-Gesetz nicht per se als illegitim und es besteht kein Grund zur Annahme, dass die Einleitung der obgenannten Strafverfahren gegen den Beschwerdeführer automatisch auf einem asylrechtlich relevanten Motiv beruht. Ausschlaggebend ist letztlich, wie die türkischen Gerichte diese Strafnormen konkret auslegen und anwenden. Der Strafrahmen von § 7/2 ATG beträgt 1-5 Jahre. Die verhängten Strafen von 3 beziehungsweise 2 Jahren erscheinen angesichts der dem Beschwerdeführer vorgeworfenen Handlungen auf den ersten Blick als relativ hoch, aber nicht als derart unverhältnismässig, dass daraus auf einen Politmalus geschlossen werden müsste. Zudem ist zu beachten, dass der Beschwerdeführer das Urteil vom 12. Oktober 2009 angefochten hat und seine Beschwerde gemäss Aktenlage vor Kassationsgericht hängig ist. Im heutigen Zeitpunkt steht somit noch gar nicht definitiv fest, ob und in welchem Umfang der Beschwerdeführer letztinstanzlich verurteilt werden wird.</w:t>
      </w:r>
    </w:p>
    <w:p>
      <w:r>
        <w:rPr>
          <w:b/>
        </w:rPr>
        <w:t>E. 5.2.2</w:t>
      </w:r>
    </w:p>
    <w:p>
      <w:r>
        <w:t>Mit Urteilen des 8. Gerichts für schwere Straftaten in D._______ vom 15. Januar 2009, des 10. Gerichts für schwere Straftaten in D._______ vom 13. Mai 2009 und der 8. Kammer des Schwurgerichts D._______ vom 18. März 2011 wurde der Beschwerdeführer jeweils gestützt auf § 7/2 ATG zu Gefängnisstrafen von einem Jahr verurteilt, wobei die ausgesprochenen Haftstrafen in allen Fällen auf 10 Monate reduziert wurden. Vorgeworfen wurde dem Beschwerdeführer in den beiden erstgenannten Fällen das Skandieren von Slogans zugunsten der PKK in Haft beziehungsweise an der Beerdigung eines Freundes und im dritten Verfahren der Besitz verbotener Zeitschriften und Bücher sowie die Absicht, diese zu verbreiten. Die Urteile vom 15. Januar 2009 und 13. Mai 2009 wurden vom Beschwerdeführer angefochten und seine diesbezüglichen Beschwerden sind beim Kassationsgericht hängig. Wie vorstehend ausgeführt, ist eine Strafverfolgung von Propagandaaktionen zugunsten der PKK gestützt auf das türkische Antiterrorgesetz grundsätzlich als legitim zu erachten und es liegen keine konkreten Hinweise für eine diskriminierende Behandlung des Beschwerdeführers aus asylrelevanten Gründen in den genannten drei Strafverfahren vor. Namentlich wurde in allen Fällen nur die in §7/2 ATG vorgesehene Mindeststrafe verhängt, und sie wurde jeweils durch Strafminderungen von je zwei Monaten zusätzlich reduziert. Im Übrigen steht nicht fest, dass die zuständigen Rekursinstanzen im Falle der beiden angefochtenen Urteile die erstinstanzlichen Verurteilungen bestätigen werden. Angesichts dieser Umstände kann nicht von einer unverhältnismässigen, politisch motivierten Bestrafung gesprochen werden.</w:t>
      </w:r>
    </w:p>
    <w:p>
      <w:r>
        <w:rPr>
          <w:b/>
        </w:rPr>
        <w:t>E. 5.2.3</w:t>
      </w:r>
    </w:p>
    <w:p>
      <w:r>
        <w:t>Mit Urteil vom 25. Juli 2007 wurde der Beschwerdeführer überdies rechtskräftig gestützt auf § 315 des türkischen Strafgesetzbuchs wegen der Beteiligung an einer Standaktion der DEHAP zu einer Geldstrafe von 600 TL verurteilt. Diese Geldstrafe wurde in eine Haftstrafe von 1 Monat umgewandelt, welche der Beschwerdeführer bereits verbüsst hat. Zumal es sich um eine geringfügige Bestrafung handelt, kann hieraus nicht auf eine asylrechtlich relevante Gefährdung des Beschwerdeführers geschlossen werden.</w:t>
      </w:r>
    </w:p>
    <w:p>
      <w:r>
        <w:rPr>
          <w:b/>
        </w:rPr>
        <w:t>E. 5.2.4</w:t>
      </w:r>
    </w:p>
    <w:p>
      <w:r>
        <w:t>Im Weiteren sind zwei gegen den Beschwerdeführer eingeleitete Verfahren vor erstinstanzlichen Gerichten hängig (Verfahren vor dem 8. Gericht für schwere Straftaten D._______ wegen Beteiligung an Ausschreitungen anlässlich des Newroz-Festes im Jahres 2005; Verfahren wegen Anstiftung einer jungen Frau, sich der PKK anzuschliessen, begangen am 14. September 2009). Nach Ansicht des Bundesverwaltungsgerichts liegen indessen keine hinreichenden Anhaltspunkte dafür vor, dass der Beschwerdeführer in diesen Verfahren mit einem Politmalus zu rechnen hat. Immerhin erwartet er gemäss eigenen Aussagen in letzerem Verfahren einen Freispruch. Die zu den Akten gereichten gerichtlichen Unterlagen enthalten keine Hinweise darauf, dass im Strafverfahren des Beschwerdeführers rechtsstaatlichen Bestimmungen nicht hinreichend Rechnung getragen worden wäre. So kann er den Ausgang der laufenden Verfahren anscheinend auf freiem Fuss abwarten.</w:t>
      </w:r>
    </w:p>
    <w:p>
      <w:r>
        <w:rPr>
          <w:b/>
        </w:rPr>
        <w:t>E. 5.3</w:t>
      </w:r>
    </w:p>
    <w:p>
      <w:r>
        <w:t>Schliesslich wurde der Beschwerdeführer in zwei aufgrund des Vorwurfs der Beteiligung an einem Brandanschlag auf ein Auto in G._______ beziehungsweise der Herstellung von Molotow-Cocktails für eine illegale Kundgebung der DTP in C._______ eingeleiteten Verfahren mit Urteilen des 8. Gerichts für schwere Straftaten in D._______ vom 7. April 2009 beziehungsweise 11. Oktober 2010 erstinstanzlich freigesprochen. Zwar hat in ersterem Verfahren gemäss Aussagen des Beschwerdeführers der Staatsanwalt die Sache ans Kassationsgericht weitergezogen, der Beschwerdeführer erwartet aber eine Bestätigung des Freispruchs durch die zweite Instanz.</w:t>
      </w:r>
    </w:p>
    <w:p>
      <w:r>
        <w:rPr>
          <w:b/>
        </w:rPr>
        <w:t>E. 5.4</w:t>
      </w:r>
    </w:p>
    <w:p>
      <w:r>
        <w:t>Im Rahmen einer Gesamtbeurteilung ist festzustellen, dass der Beschwerdeführer in zwei der gegen ihn eingeleiteten Strafverfahren zumindest erstinstanzlich freigesprochen wurde und sich in den Verfahren, in welchen ein Schuldspruch erfolgte, die ausgesprochenen Strafen im mittleren bis unteren Bereich des gesetzlichen Strafrahmens bewegen. Daraus kann geschlossen werden, dass die zuständigen Gerichte eine differenzierte Beurteilung der gegen ihn erhobenen Tatvorwürfe sowie der massgebenden Kriterien für die Strafzumessung vorgenommen haben. Unter diesen Umständen ist auch nicht davon auszugehen, dass der Beschwer­deführer in den noch hängigen Verfahren eine diskriminierende Behandlung zu befürchten hat. Gegen eine asylrelevante Gefährdung spricht im Übrigen auch, dass der Beschwerdeführer aus der ihm in mehreren Verfahren auferlegten Untersuchungshaft jeweils entlassen wurde, den Ausgang der hängigen Verfahren anscheinend in Freiheit abwarten kann und sich weiterhin in der Türkei aufhält.</w:t>
      </w:r>
    </w:p>
    <w:p>
      <w:r>
        <w:rPr>
          <w:b/>
        </w:rPr>
        <w:t>E. 5.5</w:t>
      </w:r>
    </w:p>
    <w:p>
      <w:r>
        <w:t>Die relativ lange Dauer der Untersuchungshaft lässt per se nicht auf einen Politmalus schliessen, zumal die erlittene Untersuchungshaft) gemäss türkischem Strafgesetz auf die Freiheitsstrafe angerechnet wird. Ferner ist darauf hinzuweisen, dass eine Einreisebewilligung in erster Linie dem präventiven Schutz vor Verfolgung und nicht der Kompensation von erlittenem Unrecht dient. Selbst wenn die geltend gemachte Inhaftierung sowie die geschilderten Misshandlungen des Beschwerdeführers von ihrer Intensität her als flüchtlingsrelevant zu betrachten wären, ist eine vergangene Verfolgung grundsätzlich nur insofern beachtlich, als diese noch andauert oder falls sie bereits ihren Abschluss gefunden hat die Furcht vor künftiger Verfolgung begründet erscheinen lässt (vgl. auch WALTER KÄLIN, Grundriss des Asylverfahrens, Basel und Frankfurt am Main 1990, S. 126 ff.). Es liegen indessen keine konkreten Anhaltspunkte dafür vor, dass dem Beschwerdeführer in Zukunft vergleichbare Misshandlungen drohen.</w:t>
      </w:r>
    </w:p>
    <w:p>
      <w:r>
        <w:rPr>
          <w:b/>
        </w:rPr>
        <w:t>E. 5.6</w:t>
      </w:r>
    </w:p>
    <w:p>
      <w:r>
        <w:t>Eine andere Einschätzung vermag im Weiteren auch der Umstand, dass von den türkischen Behörden für den Beschwerdeführer ein politisches Datenblatt angelegt worden sein dürfte, nicht zu rechtfertigen. Gemäss konstanter Praxis des Bundesverwaltungsgerichts ist bei Asylsuchenden aus der Türkei in der Regel bereits im Falle des Bestehens eines politischen Datenblatts von einer begründeten Furcht vor asylrechtlich relevanter Verfolgung auszugehen (vgl. BVGE 2010/9 mit weiteren Hinweisen). Eine solche Schlussfolgerung erscheint vorliegend jedoch nicht gerechtfertigt, da zum einen wie oben dargelegt, kein Grund zur Annahme eines Politmalus des Beschwerdeführers besteht und eine begründete Furcht vor Verfolgung im asylrechtlichen Sinne aufgrund der gegen ihn eingeleiteten Gerichtsverfahren zu verneinen ist und zum anderen bei der Erteilung von Einreisebewilligungen praxisgemäss Zurückhaltung geboten ist (vgl. E. 3.4).</w:t>
      </w:r>
    </w:p>
    <w:p>
      <w:r>
        <w:rPr>
          <w:b/>
        </w:rPr>
        <w:t>E. 5.7</w:t>
      </w:r>
    </w:p>
    <w:p>
      <w:r>
        <w:t>Es bleibt anzufügen, dass der Beschwerdeführer nach Ausschöpfung des inländischen Rechtswegs gegebenenfalls die Möglichkeit hätte, in Anwendung des Individualbeschwerderechts von Art. 34 der Konvention vom 4. November 1950 zum Schutze der Menschenrechte und Grundfreiheiten (EMRK, SR 0.101) beim Europäischen Gerichtshof für Menschenrechte gegen die Türkei zu klagen, falls die Strafverfahren nicht nach den Grundsätzen der EMRK zu Ende geführt würden oder er in Zukunft konkreten Anlass hätte zu befürchten, dass ihm im Strafvollzug Menschenrechtsverletzungen drohen könnten.</w:t>
      </w:r>
    </w:p>
    <w:p>
      <w:r>
        <w:rPr>
          <w:b/>
        </w:rPr>
        <w:t>E. 5.8</w:t>
      </w:r>
    </w:p>
    <w:p>
      <w:r>
        <w:t>Gestützt auf die vorstehenden Erwägungen ist zusammenfassend festzustellen, dass der Beschwerdeführer im heutigen Zeitpunkt nicht als schutzbedürftig zu erachten ist, da nicht davon auszugehen ist, er sei im Heimatland im Zusammenhang mit den gegen ihn laufenden Strafverfahren einer unmittelbaren, asylrelevanten Gefährdung ausgesetzt. Es ist ihm nach dem Gesagten nicht gelungen, eine aktuelle und konkrete Gefährdung im Sinne von Art. 3 AsylG beziehungsweise konkrete Hinweise auf eine in absehbarer Zukunft eintretende asylrelevante Verfolgung und eine damit einhergehende, begründete Verfolgungsfurcht darzulegen. Gestützt auf die heutige Aktenlage ist ausserdem davon auszugehen, dass ihm der weitere Verbleib im Heimatland zuzumuten ist. Somit hat die Vorinstanz dem Beschwerdeführer zu Recht die Einreise in die Schweiz verweigert und das Asylgesuch abgelehnt.</w:t>
      </w:r>
    </w:p>
    <w:p>
      <w:r>
        <w:rPr>
          <w:b/>
        </w:rPr>
        <w:t>E. 5.9</w:t>
      </w:r>
    </w:p>
    <w:p>
      <w:r>
        <w:t>Bei diesem Ausgang des Verfahrens kann offengelassen werden, ob vorliegend die Voraussetzungen für den Ausschluss vom Asyl gestützt auf Art. 53 AsylG erfüllt wären.</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dem Beschwerdeführer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