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E-7099/2018 vom 6. Februar 2019</w:t>
      </w:r>
    </w:p>
    <w:p>
      <w:r>
        <w:t>Bundesverwaltungsgericht, 2019-02-06, FR</w:t>
      </w:r>
    </w:p>
    <w:p>
      <w:r>
        <w:rPr>
          <w:b/>
        </w:rPr>
        <w:t xml:space="preserve">Quelle: </w:t>
      </w:r>
      <w:r>
        <w:t>https://mcp.opencaselaw.ch/entscheid/bvger_E-7099_2018</w:t>
      </w:r>
    </w:p>
    <w:p>
      <w:r>
        <w:t>FR: TAF E-7099/2018 du 6 février 2019</w:t>
      </w:r>
    </w:p>
    <w:p>
      <w:r>
        <w:t>IT: TAF E-7099/2018 del 6 febbraio 2019</w:t>
      </w:r>
    </w:p>
    <w:p>
      <w:pPr>
        <w:pStyle w:val="Heading2"/>
      </w:pPr>
      <w:r>
        <w:t>Regeste</w:t>
      </w:r>
    </w:p>
    <w:p>
      <w:r>
        <w:t>Asile et renvoi</w:t>
      </w:r>
    </w:p>
    <w:p>
      <w:pPr>
        <w:pStyle w:val="Heading2"/>
      </w:pPr>
      <w:r>
        <w:t>Erwägungen</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l'une de ces conditions n'est pas remplie, l'admission provisoire doit être prononcée. Celle-ci est réglée par l'art. 83 de la loi sur les étrangers et l'intégration (LEI, RS 142.20 ; nouvelle appellation de l'ancienne LEtr dès le 1er janvier 2019, et applicable à la présente cause, cf. arrêt du Tribunal D-7149/2017 du 30 janvier 2019 consid. 8).</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8.3.2</w:t>
      </w:r>
    </w:p>
    <w:p>
      <w:r>
        <w:t>En l'occurrence, le Tribunal considère, pour les mêmes motifs que ceux développés aux considérants 3 et 4 ci-dessus, qu'il n'y a pas lieu de conclure à un risque sérieux et avéré de traitements illicites pour les recourants en cas de retour dans leur pays d'origine. Dès lors que les motifs d'asile n'ont pas été rendus vraisemblables, il ne ressort du dossier aucun élément démontrant un risque, pour la recourante, d'être victime de traitements prohibés de la part de sa propre famille, pour des raisons d'honneur. En outre, ni les allégués des intéressés ni les rapports de situation d'observateurs de terrain n'étayent l'affirmation selon laquelle elle serait passible d'une peine d'emprisonnement dans des conditions inhumaines pour avoir abandonné son poste. La recourante n'a d'ailleurs pas allégué avoir été emprisonnée lorsqu'elle s'est rendue en Iran sans avoir au préalable obtenu une permission ; elle n'aurait pas perçu son salaire durant plusieurs mois (cf. pv de la deuxième audition Q. 39 s). Une telle sanction, si elle est avérée, n'est pas assimilable à un traitement illicite.</w:t>
      </w:r>
    </w:p>
    <w:p>
      <w:r>
        <w:rPr>
          <w:b/>
        </w:rPr>
        <w:t>E. 8.4</w:t>
      </w:r>
    </w:p>
    <w:p>
      <w:r>
        <w:t>Dès lors, l'exécution du renvoi des recourants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9.2</w:t>
      </w:r>
    </w:p>
    <w:p>
      <w:r>
        <w:t>S'agissant de l'Irak, le Tribunal a distingué, dans sa jurisprudence, la situation régnant dans les trois provinces kurdes du nord, Dohuk, Erbil et Sulaymaniya, de celle du reste de l'Irak, et estimé que l'exécution du renvoi pouvait raisonnablement être exigée à destination de ces trois provinces pour autant que le requérant soit originaire de l'une d'elles ou qu'il y ait vécu pendant une longue période et qu'il y dispose d'un réseau social, précisant encore que, pour des familles avec enfants, l'exigibilité ne devait être admise qu'avec retenue (cf. ATAF 2008/5, consid. 7.5, en particulier consid. 7.5.8). Il a confirmé cette jurisprudence dans un arrêt de référence E-3737/2015 du 14 décembre 2015 (consid. 7.4.2 et 7.4.5), dans lequel il a retenu qu'en dépit des affrontements opposant les combattants de Daesh et les peshmergas en Irak, l'exécution du renvoi demeurait en principe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d'actualité. Le référendum sur l'indépendance du Kurdistan du 25 septembre 2017, organisé unilatéralement, a entrainé des mesures économiques répressives tant du gouvernement irakien que des Etats turc et iranien voisins. En dépit de la profonde crise politique et économique à laquelle la région autonome kurde d'Irak est de ce fait confrontée, les violences y demeurent relativement limitées.</w:t>
      </w:r>
    </w:p>
    <w:p>
      <w:r>
        <w:rPr>
          <w:b/>
        </w:rPr>
        <w:t>E. 9.3</w:t>
      </w:r>
    </w:p>
    <w:p>
      <w:r>
        <w:t>En l'occurrence, il ne ressort du dossier aucun élément dont on pourrait inférer que l'exécution du renvoi impliquerait une mise en danger concrète des recourants en raison de leur situation personnelle. Ils ont déclaré disposer d'un réseau familial important dans le Kurdistan irakien, où ils ont toujours résidé depuis leur enfance et où ils vivaient dans des conditions relativement aisées avant leur départ. Ils devraient donc pouvoir se réinstaller dans la maison du frère du recourant, où ils logeaient et pouvoir pour le moins compter sur l'aide de leurs proches pour faciliter leur réinstallation. Il n'y a pas, non plus, de raison de penser qu'ils ne pourraient pas, à terme, retrouver un emploi vu leur expérience de peshmergas et la considération que cela entraîne dans la société du Kurdistan irakien. Les conditions pour une réinstallation sont donc particulièrement favorables. En outre, ils sont jeunes et n'ont pas fait état, lors de leurs auditions, de problèmes de santé de nature à faire obstacle à l'exécution de leur renvoi. La recourante a, certes, fait référence plusieurs fois à des antécédents de cancers dans sa famille. Elle a dit qu'elle se trouvait mal depuis qu'elle était au centre, mais rien n'indique que cet état est consécutif à une grave affection et non pas à la seule la tension du voyage et de la procédure d'asile. Le Tribunal constate surtout que, dans leur mémoire de recours, les intéressés n'ont pas fait valoir l'existence de problèmes de santé. Il ressort du dossier du SEM que, postérieurement au dépôt du recours, leur mandataire a informé les responsables du centre que la recourante avait dû consulter un psychiatre suite à la réception de la décision. Il n'y a toutefois pas lieu de conclure de ce seul fait ressortant du dossier que l'état de l'intéressée pourrait être grave au point de s'opposer à l'exécution du renvoi. La péjoration de l'état psychique est une réaction qui peut être couramment observée chez une personne dont la demande de protection a été rejetée, sans qu'il faille pour autant y voir un obstacle à l'exécution du renvoi. Un épisode dépressif sévère et même des tendances suicidaires ne s'opposent, en soi, pas à celle-ci, s'il est possible d'y remédier au moyen de mesures adéquates, de manière à exclure un danger concret en cas de retour. Il appartiendra aux intéressés de tenir les autorités chargées de l'exécution du renvoi informées de l'évolution de l'état de santé de la recourante. Il sied encore de souligner que les intéressés ont deux jeunes enfants et qu'il y aura lieu de procéder à l'exécution du renvoi d'une manière qui prenne dûment en compte également les intérêts de ceux-ci. S'agissant d'une décision de renvoi concernant des enfants, l'intérêt supérieur de ces derniers est, en effet, un point important à prendre en considération dans le cadre de l'examen de l'exigibilité de la mesure. Une interprétation de l'art. 83 al. 4 LEI conforme aux exigences découlant de la convention du 20 novembre 1989 relative aux droits de l'enfant (ci-après: Conv. droits enfants ; RS 0.107) impose d'avoir égard, en particulier, aux conséquences que le renvoi pourrait avoir sur l'enfant concerné, selon son âge ou la longueur de son séjour en Suisse, en raison de son intégration dans ce pays, ainsi qu'aux incidences prévisibles d'une installation dans le pays d'origine sur son développement (cf. ATAF 2009/28 consid. 9.3.2). En l'occurrence, les filles des recourants sont très jeunes et ne séjournent que depuis quelques mois en Suisse ; un retour dans leur pays d'origine n'est pas susceptible de les mettre concrètement en danger, dans la mesure où elles sont accompagnées de leurs parents, lesquels ont clairement démontré, par les déclarations faites lors de leurs auditions, que le bien-être de leurs enfants étaient une priorité pour eux, et où leur réinstallation devrait avoir lieu, comme dit précédemment, dans des conditions particulièrement favorables.</w:t>
      </w:r>
    </w:p>
    <w:p>
      <w:r>
        <w:rPr>
          <w:b/>
        </w:rPr>
        <w:t>E. 9.4</w:t>
      </w:r>
    </w:p>
    <w:p>
      <w:r>
        <w:t>En définitive, l'exécution du renvoi doit être considérée comme raisonnablement exigible.</w:t>
      </w:r>
    </w:p>
    <w:p>
      <w:r>
        <w:rPr>
          <w:b/>
        </w:rPr>
        <w:t>E. 10</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12.2</w:t>
      </w:r>
    </w:p>
    <w:p>
      <w:r>
        <w:t>Les intéressés ont toutefois été mis au bénéfice de l'assistance judiciaire partielle par décision incidente du 20 décembre 2018. En conséquence,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