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E-708/2024 vom 9. Februar 2024</w:t>
      </w:r>
    </w:p>
    <w:p>
      <w:r>
        <w:t>Bundesverwaltungsgericht, 2024-02-09, FR</w:t>
      </w:r>
    </w:p>
    <w:p>
      <w:r>
        <w:rPr>
          <w:b/>
        </w:rPr>
        <w:t xml:space="preserve">Quelle: </w:t>
      </w:r>
      <w:r>
        <w:t>https://mcp.opencaselaw.ch/entscheid/bvger_E-708_2024</w:t>
      </w:r>
    </w:p>
    <w:p>
      <w:r>
        <w:t>FR: TAF E-708/2024 du 9 février 2024</w:t>
      </w:r>
    </w:p>
    <w:p>
      <w:r>
        <w:t>IT: TAF E-708/2024 del 9 febbraio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 Le Tribunal est donc compétent pour connaître du présent litige et statuer définitivement.</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1.3</w:t>
      </w:r>
    </w:p>
    <w:p>
      <w:r>
        <w:t>Le présent recours est dirigé uniquement contre la décision en matière d'asile (chiffres 1 à 6 du dispositif de la décision querellée).</w:t>
      </w:r>
    </w:p>
    <w:p>
      <w:r>
        <w:rPr>
          <w:b/>
        </w:rPr>
        <w:t>E. 2.1</w:t>
      </w:r>
    </w:p>
    <w:p>
      <w:r>
        <w:t>Il convient d'examiner en premier lieu les griefs « formels »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2.1.2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w:t>
      </w:r>
    </w:p>
    <w:p>
      <w:r>
        <w:t>En l'occurrence, aucun manquement de la part du SEM ne saurait être retenu quant à la détermination de l'âge de l'intéressé. Au cours de la procédure, l'autorité intimée a instruit la question centrale de la date de naissance de l'intéressé en le questionnant directement à ce propos, en l'interrogeant sur son âge à différentes étapes de sa vie (cf. procès-verbal de l'audition du 30 novembre 2023, points 1.06, 1.17.04. 4.03 et 5.02) et en lui accordant spécifiquement un droit d'être entendu à ce sujet. Elle a en outre mis en oeuvre une expertise médico-légale en tant que mesure d'instruction complémentaire, avant de procéder à une appréciation globale des éléments au dossier. Ce faisant, le SEM a établi de manière appropriée l'état de fait pertinent en lien avec l'âge de l'intéressé. Aucun défaut d'instruction ne saurait donc lui être reproché. Pour le surplus, les arguments du recourant se rapportent à l'appréciation - selon lui subjective - qu'en fait le SEM. Ces développements ne relèvent donc pas de la forme, mais du fond, et seront examinés ci-après.</w:t>
      </w:r>
    </w:p>
    <w:p>
      <w:r>
        <w:rPr>
          <w:b/>
        </w:rPr>
        <w:t>E. 2.3</w:t>
      </w:r>
    </w:p>
    <w:p>
      <w:r>
        <w:t>Sur le vu de ce qui précède, les griefs formels du recourant sont infondés et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4.5</w:t>
      </w:r>
    </w:p>
    <w:p>
      <w:r>
        <w:t>L'Etat membre responsable de l'examen d'une demande de protection internationale en vertu du règlement est tenu de reprendre en charge - dans les conditions prévues aux art. 23, 24, 25 et 29 - le requérant dont la demande est en cours d'examen, ou a été rejetée, et qui a présenté une demande auprès d'un autre Etat membre ou qui se trouve, sans titre de séjour, sur le territoire d'un autre Etat membre (cf. art. 18 par. 1 let. b et d du règlement Dublin III).</w:t>
      </w:r>
    </w:p>
    <w:p>
      <w:r>
        <w:rPr>
          <w:b/>
        </w:rPr>
        <w:t>E. 4.6</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4.7</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5.1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w:t>
      </w:r>
    </w:p>
    <w:p>
      <w:r>
        <w:rPr>
          <w:b/>
        </w:rPr>
        <w:t>E. 5.2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plus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les réf. citées).</w:t>
      </w:r>
    </w:p>
    <w:p>
      <w:r>
        <w:rPr>
          <w:b/>
        </w:rPr>
        <w:t>E. 5.3</w:t>
      </w:r>
    </w:p>
    <w:p>
      <w:r>
        <w:t>En l'espèce, le recourant n'a pas déposé de document d'identité susceptible de prouver sa minorité (cf. art. 1a let. c OA 1). L'allégation selon laquelle il a perdu sa tazkira ou que celle-ci a été saisie par la police bulgare n'est en rien étayée. Elle ne plaide en tous cas pas en faveur de la vraisemblance de ses déclarations.</w:t>
      </w:r>
    </w:p>
    <w:p>
      <w:r>
        <w:rPr>
          <w:b/>
        </w:rPr>
        <w:t>E. 5.4</w:t>
      </w:r>
    </w:p>
    <w:p>
      <w:r>
        <w:t>L'expertise médico-légale réalisée, fondée sur la méthode des trois piliers (cf. ATAF 2018 VI/3) ne permet pas non plus de trancher. En effet, l'examen de la dentition, bien que l'expert fasse état d'une probabilité élevée que le recourant ait dépassé sa 18ème année et conclue à un âge moyen de 20,5 ans, n'indique pas d'âge minimum. Selon les résultats des examens osseux, l'âge minimum se situe en-dessous de 18 ans (main gauche : 16,1 ans ; articulations sterno-claviculaires : 16,4 ans, valeur également retenue dans les conclusions finales). Une comparaison des tranches d'âge, non expressément mentionnées, ressortant de chaque méthode d'examen s'avère difficile sur la base des rapports des spécialistes. Le rapport du 27 décembre 2023 indique dans ses conclusions générales que l'intéressé peut être âgé de moins de 18 ans et considère la date de naissance du (...) comme étant possible. Au vu de ce qui précède, l'expertise médico-légale ne donne pas de réponse claire en faveur ou en défaveur de la minorité du recourant.</w:t>
      </w:r>
    </w:p>
    <w:p>
      <w:r>
        <w:rPr>
          <w:b/>
        </w:rPr>
        <w:t>E. 5.5</w:t>
      </w:r>
    </w:p>
    <w:p>
      <w:r>
        <w:t>En revanche, les déclarations du recourant relatives à son âge plaident en défaveur de sa minorité, celui-ci ayant, de l'avis du Tribunal, tenté de dissimuler son âge réel. Ses réponses à ce sujet sont restées sommaires, malgré les efforts de l'auditrice. L'intéressé n'a donné aucune indication concernant son âge en lien avec des événements passés, se bornant à déclarer qu'il avait actuellement (...) ans et qu'il aurait (...) ans le mois suivant. L'argument selon lequel l'âge serait moins important en Afghanistan qu'en Suisse ne suffit pas à l'expliquer. On ne saurait perdre de vue que l'intéressé a été l'objet en France d'une procédure d'asile, dans le cadre de laquelle les mêmes questions qu'en Suisse lui ont été posées (cf. procès-verbal de l'audition du 30 novembre 2023, point 2.06 p. 7). Il n'ignorait dès lors probablement pas le type de questions qui l'attendaient sur son âge et l'importance de pouvoir y répondre. Son attitude consistant à invoquer l'ignorance totale sur des questions simples, auxquelles il n'était tenu de répondre que très approximativement, ne saurait ainsi être mise sur le compte de son jeune âge et de sa condition. Il est notamment singulier que le recourant n'ait pas été en mesure d'estimer grossièrement l'âge qu'il avait lorsqu'il a été scolarisé dans son pays d'origine. A cet égard, l'intéressé n'a même pas répondu à la question de l'auditrice qui lui demandait s'il était plutôt proche des six ou des douze ans au moment de commencer l'école, prétendant ne pas vouloir « inventer » (cf. ibidem, point 1.17.04), ce qui ne convainc guère. De même, il est surprenant qu'il n'ait pas été capable de donner l'âge de ses frères. Surtout, quoi qu'en dise l'intéressé, il est incompréhensible qu'il n'ait pas été capable d'indiquer l'âge qu'il avait au moment de quitter l'Afghanistan (qu'il ne l'ait pas « calculé », cf. ibidem, point 5.02), alors que ses parents lui auraient précisément indiqué sa date de naissance peu avant son départ en lui disant que « ça allait (lui) servir » (cf. ibidem, point 1.06). Les indications plus détaillées qu'il a données s'agissant de son voyage - étant rappelé qu'il a notamment indiqué la date exacte de son départ - suggèrent au demeurant qu'il était en mesure de donner des informations plus précises concernant sa scolarité en Afghanistan et l'âge qu'il avait au moment de quitter ce pays, ce qu'il n'a pas fait. L'argument selon lequel les événements antérieurs à son départ auraient eu pour lui une importance temporelle moins significative n'emporte pas la conviction. L'argument selon lequel l'intéressé ignorait la signification de la date qui aurait été inscrite sur sa tazkira (cf. mémoire de recours, p. 13) ne convainc pas davantage. Il ressort en effet de son audition que le recourant avait compris qu'il s'agissait de sa date de naissance. Ses explications sur cette question se sont néanmoins révélées confuses (cf. procès-verbal de l'audition du 30 novembre 2023, point 1.06 in fine). Enfin, c'est à tort que le recourant reproche au SEM de ne pas avoir investigué les raisons pour lesquelles les autorités autrichiennes et françaises l'auraient considéré comme mineur (cf. supra, let. H). S'agissant de ces dernières, rien n'indique d'ailleurs qu'elles l'aient tenu comme tel, quoi qu'il en dise. En acceptant la demande de reprise en charge qui leur était adressée par le SEM, celle-ci concluant à la majorité de l'intéressé, il apparaît plutôt qu'elles ont rejoint l'avis des autorités suisses sur ce point.</w:t>
      </w:r>
    </w:p>
    <w:p>
      <w:r>
        <w:rPr>
          <w:b/>
        </w:rPr>
        <w:t>E. 5.6</w:t>
      </w:r>
    </w:p>
    <w:p>
      <w:r>
        <w:t>Compte tenu de ce qui précède, le SEM pouvait légitimement considérer que la prétendue minorité du recourant n'était pas vraisemblable. Le recours ne contient pas d'indice permettant de parvenir à la conclusion inverse.</w:t>
      </w:r>
    </w:p>
    <w:p>
      <w:r>
        <w:rPr>
          <w:b/>
        </w:rPr>
        <w:t>E. 6</w:t>
      </w:r>
    </w:p>
    <w:p>
      <w:r>
        <w:t>Pour le reste, il est constaté que le SEM a correctement appliqué les critères de détermination de l'Etat membre responsable (art. 7 ss du règlement Dublin III) et respecté les délais prévus aux art. 23 par. 2 et 25 par. 1 du règlement précité (cf. supra, let. B., F. et H.), ce qui n'est d'ailleurs pas contesté. Il est relevé que l'intéressé, quoi qu'il en dise, a manifestement déposé une demande d'asile en France, compte tenu de l'inscription figurant dans « Eurodac ». Vu l'art. 18 par. 1 let. d RD III invoqué par les autorités françaises dans leur réponse du 18 janvier 2024, il appert d'ailleurs que cette demande a été rejetée. La compétence de la France est dès lors établie.</w:t>
      </w:r>
    </w:p>
    <w:p>
      <w:r>
        <w:rPr>
          <w:b/>
        </w:rPr>
        <w:t>E. 7.1</w:t>
      </w:r>
    </w:p>
    <w:p>
      <w:r>
        <w:t>Il y a encore lieu de relever que l'autorité inférieure a vérifié et écarté à raison toutes défaillances systémiques dans l'état en question, de sorte que l'application de l'art. 3 par. 2 2ème phrase du règlement Dublin III n'est pas applicable en l'occurrence. Rien ne justifie en outre l'application de la clause discrétionnaire et le traitement de la demande du recourant d'asile en procédure nationale, en vertu de l'art. 17 par. 1 du règlement Dublin III. Il peut sur ces points être renvoyé aux considérants de la décision querellée, considérants que le recourant ne conteste aucunement.</w:t>
      </w:r>
    </w:p>
    <w:p>
      <w:r>
        <w:rPr>
          <w:b/>
        </w:rPr>
        <w:t>E. 7.2</w:t>
      </w:r>
    </w:p>
    <w:p>
      <w:r>
        <w:t>Il est au surplus rappelé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C'est ainsi à bon droit que l'autorité inférieure n'est pas entrée en matière sur la demande d'asile de l'intéressé, en application de l'art. 31a al. 1 let. b LAsi, et a prononcé son renvoi de Suisse vers la France, en application de l'art. 44 LAsi, aucune exception à la règle générale du renvoi n'étant réalisée (cf. art. 32 OA 1). Par conséquent, le recours doit être rejeté.</w:t>
      </w:r>
    </w:p>
    <w:p>
      <w:r>
        <w:rPr>
          <w:b/>
        </w:rPr>
        <w:t>E. 9</w:t>
      </w:r>
    </w:p>
    <w:p>
      <w:r>
        <w:t>S'avérant manifestement infondé, il l'est dans une procédure à juge unique, avec l'approbation d'un second juge (art. 111 let. e LAsi). Il est renoncé à un échange d'écritures, le présent arrêt n'étant motivé que sommairement (art. 111a al. 1 et 2 LAsi).</w:t>
      </w:r>
    </w:p>
    <w:p>
      <w:r>
        <w:rPr>
          <w:b/>
        </w:rPr>
        <w:t>E. 10.1</w:t>
      </w:r>
    </w:p>
    <w:p>
      <w:r>
        <w:t>Les mesures superprovisionnelles ordonnées le 2 février 2024 sont caduques avec le présent arrêt, les demandes tendant à l'octroi de l'effet suspensif et à l'exemption du versement d'une avance de frais devenant sans objet.</w:t>
      </w:r>
    </w:p>
    <w:p>
      <w:r>
        <w:rPr>
          <w:b/>
        </w:rPr>
        <w:t>E. 10.2</w:t>
      </w:r>
    </w:p>
    <w:p>
      <w:r>
        <w:t>Les conclusions du recours étant d'emblée vouées à l'échec, la requête d'assistance judiciaire partielle doit être rejetée (cf. art. 65 al. 1 PA).</w:t>
      </w:r>
    </w:p>
    <w:p>
      <w:r>
        <w:rPr>
          <w:b/>
        </w:rPr>
        <w:t>E. 10.3</w:t>
      </w:r>
    </w:p>
    <w:p>
      <w:r>
        <w:t>Compte tenu de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