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E-7089/2009 vom 1. Dezember 2009</w:t>
      </w:r>
    </w:p>
    <w:p>
      <w:r>
        <w:t>Bundesverwaltungsgericht, 2009-12-01, DE</w:t>
      </w:r>
    </w:p>
    <w:p>
      <w:r>
        <w:rPr>
          <w:b/>
        </w:rPr>
        <w:t xml:space="preserve">Quelle: </w:t>
      </w:r>
      <w:r>
        <w:t>https://mcp.opencaselaw.ch/entscheid/bvger_E-7089_2009</w:t>
      </w:r>
    </w:p>
    <w:p>
      <w:r>
        <w:t>FR: TAF E-7089/2009 du 1 décembre 2009</w:t>
      </w:r>
    </w:p>
    <w:p>
      <w:r>
        <w:t>IT: TAF E-7089/2009 del 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105 AsylG i.V.m. Art. 37 VGG,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Vorab ist in Bezug auf das Eventualbegehren (Rückweisung der Sache an die Vorinstanz zur Neubeurteilung) festzustellen, dass sich die Rü-ge, das BFM habe weder zu den Vorbringen des Beschwerdeführers - vor allem zu deren Glaubhaftigkeit - noch zu den eingereichten Be-weismitteln Stellung bezogen, als unbegründet erweist. Insbesondere hat die Vorinstanz die Vorbringen des Beschwerdeführers in der ange-fochtenen Verfügung als glaubhaft und den Anforderungen an die Flüchtlingseigenschaft hinsichtlich des Zentraliraks entsprechend qualifiziert. Das Bundesamt hat ausgeführt, es müsse davon ausgegangen werden, dass der Beschwerdeführer in seiner Herkunftsregion nach wie vor begründete Furcht vor Verfolgung habe.</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führte zur Begründung seiner Verfügung an, gemäss dem Subsidiaritätsprinzip seien Personen mit einer innerstaatlichen Fluchtalternative nicht auf den Schutz eines Drittstaates angewiesen. Die staatlichen Behörden im Nordirak seien grundsätzlich in der Lage, Hinweisen auf Übergriffe nachzugehen, nötigenfalls ein Strafverfahren einzuleiten und somit adäquaten Schutz vor Verfolgung zu gewähren. Zwar würden die kurdischen Behörden bei der Registrierung von intern vertriebenen Personen aus dem Zentralirak allfällige Sicherheitsrisiken prüfen, die von solchen Personen ausgehen könnten. Vorliegend verfüge der Beschwerdeführer aber nicht über ein Profil, das ihn in den Augen der kurdischen Behörden als potenziellen politischen Gegner erscheinen lasse und einen Grund darstellen könnte, ihm die Einreise in den Norden und dort die Niederlassung zu verweigern. Vor diesem Hintergrund müsse davon ausgegangen werden, dass der Beschwerdeführer im Zentralirak zwar nach wie vor begründete Furcht vor Verfolgung habe, aber im kurdisch kontrollierten Teil des Iraks um effektiven Schutz der Behörden nachsuchen könne. Somit sei er nicht auf den Schutz der Schweiz angewiesen. Seine Vorbringen hielten deshalb den Anforderungen an die Flüchtlingseigenschaft nicht stand. Die Regelfolge der Ablehnung eines Asylgesuchs sei die Wegweisung der asylsuchenden Person aus der Schweiz. Da der Beschwerdeführer die Flüchtlingseigenschaft nicht erfülle, gelange der Grundsatz der Nichtrückschiebung gemäss Art. 5 Abs. 1 AsylG nicht zu Anwendung. Im Grundsatzurteil BVGE 2008/5 S. 57 ff. vom 14. März 2008 sei das Bundesverwaltungsgericht zum Schluss gelangt, dass in den Provinzen Dohuk, Erbil und Suleymania keine Situation allgemeiner Gewalt herrsche und die dortige politische Lage nicht dermassen angespannt sei, dass eine Rückführung des Beschwerdeführers in diesen Teil des Irak generell als unzumutbar betrachtet werden müsse. Vorliegend sprächen jedoch individuelle Gründe gegen den Wegweisungsvollzug, weshalb der Beschwerdeführer in der Schweiz vorläufig aufzunehmen sei.</w:t>
      </w:r>
    </w:p>
    <w:p>
      <w:r>
        <w:rPr>
          <w:b/>
        </w:rPr>
        <w:t>E. 6.2</w:t>
      </w:r>
    </w:p>
    <w:p>
      <w:r>
        <w:t>In der Rechtsmitteleingabe wird unter Verweis auf die gesuchsbegründenden Aussagen und deren Flüchtlingsrelevanz in Bezug auf die innerstaatliche Fluchtalternative entgegnet, beim Beschwerdeführer handle es sich um einen Araber aus der Region Bagdad, der für die multinationale Truppen als Übersetzer tätig gewesen sei. Für die (...) gelte er als Unterstützer der Amerikaner und somit als Landesverräter. Der Beschwerdeführer verfüge im Nordirak weder über Verwandte noch über ein soziales Netz; zudem sei es für ihn nicht möglich, eine Gewährsperson zu stellen, um dort eine definitive Niderlassungsbewilligung zu erhalten. Zudem würde er von den kurdischen Behörden, deren Anliegen es sei, kein Anziehungspunkt für die (...), insbesondere die (...), zu werden, als Sicherheitsrisiko eingestuft. Daher sei es wahrscheinlich, dass sie ihm eine Niederlassungsbewilligung verweigern würden. Die nordirakischen Behörden seien nicht willens und nicht in der Lage, sämtliche Araber aus dem Zentralirak, die von der (...) verfolgt würden, aufzunehmen. Der Beschwerdeführer gehöre auch keiner kurdischen Partei an und habe im Nordirak weder Stammesangehörige noch eine Familie. Um eine inländische Fluchtalternative im Nordirak bejahen zu können, müsse eine realistische Möglichkeit bestehen, auch tatsächlich dort legal leben zu können. Es sei deshalb festzuhalten, dass faktisch gar keine innerstaatliche Fluchtalternative bestehe. Dem Beschwerdeführer sei deshalb in der Schweiz Asyl zu gewähren.</w:t>
      </w:r>
    </w:p>
    <w:p>
      <w:r>
        <w:rPr>
          <w:b/>
        </w:rPr>
        <w:t>E. 7.1</w:t>
      </w:r>
    </w:p>
    <w:p>
      <w:r>
        <w:t>Die Furcht vor künftiger Verfolgung umfasst gemäss den von der Rechtsprechung entwickelten Kriterien einerseits ein auf tatsächlichen Gegebenheiten beruhendes objektives Element und anderseits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 Entscheidungen und Mitteilungen der Schweizerischen Asylrekurskommission [EMARK] 2000 Nr. 9 E. 5a S. 78).</w:t>
      </w:r>
    </w:p>
    <w:p>
      <w:r>
        <w:rPr>
          <w:b/>
        </w:rPr>
        <w:t>E. 7.2</w:t>
      </w:r>
    </w:p>
    <w:p>
      <w:r>
        <w:t>Vor dem Hintergrund der aktuellen Lage im Irak und in Abwägung der vom Beschwerdeführer vorgebrachten Sachverhaltselemente kommt das Bundesverwaltungsgericht in Übereinstimmung mit den diesbezüglichen Ausführungen des BFM zum Schluss, dass dem Beschwerdeführer im Falle einer Rückkehr in den Zentralirak begründete Furcht vor Verfolgung zuzuerkennen ist. Angesichts seiner mit ent-sprechenden Beweismitteln belegten Aktivitäten als Dolmetscher für die Amerikaner ist eine Verfolgungsgefahr seitens der (...) nicht von der Hand zu weisen. Weder die irakischen Behörden noch die im Irak anwesenden internationalen Truppen wären in der Lage, ihm hinreichenden Schutz vor der ihm drohenden privaten Verfolgung zu gewähren (BVGE 2008/12 E. 6.8 S. 168 f. u. E. 7.2.4 S. 172). Aus diesem Grund ist diese als asylrechtlich relevant zu werten, da im heutigen Zeitpunkt im Zentralirak vom Fehlen eines staatlichen Gewaltmonopols und einer effizienten und funktionierenden Schutzinfrastruktur ausgegangen werden muss. Demzufolge ist von einer begründeten Furcht des Beschwerdeführers vor asylrechtlich relevanten Nachteilen im Zentralirak auszugehen. Nachfolgend bleibt zu prüfen, ob der Beschwerdeführer die Möglichkeit hätte, im kurdisch verwalteten Nordirak Schutz zu finden.</w:t>
      </w:r>
    </w:p>
    <w:p>
      <w:r>
        <w:rPr>
          <w:b/>
        </w:rPr>
        <w:t>E. 8.1</w:t>
      </w:r>
    </w:p>
    <w:p>
      <w:r>
        <w:t>Im Grundsatzurteil BVGE 2008/4 stellte das Bundesverwaltungsgericht fest, dass die Sicherheits- und Justizbehörden der drei irakisch-kurdischen Nordprovinzen grundsätzlich in der Lage und willens sind, den Einwohnern der drei Provinzen Schutz vor Verfolgung zu gewähren (E. 6). Es kann nicht davon ausgegangen werden, dass im Norden - trotz der besseren Sicherheitslage als im Zentral- und Südirak - jedermann Zuflucht finden kann. Am leichtesten dürfte dies Kurden fallen, die Beziehungen zu den grossen Parteien oder ihnen nahestehenden Gruppierungen haben oder in den kurdischen Provinzen über ein familiäres oder gesellschaftliches Netzwerk verfügen. Aus Furcht vor terroristischen Aktivitäten wird der Zugang von Nicht-Kurden in die Nordprovinzen in Bezug auf Einreise und Niederlassung streng kontrolliert. Für die drei Provinzen bestehen dabei je unterschiedliche Regelungen: Während die Einreise in die Provinz Suleimaniya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in der entsprechenden Provinz regi-striert sein und über einen guten Leumund verfügen. In Dohuk schliesslich wird nur bei alleinstehenden Männern eine Gewährsper-son im beschriebenen Sinne verlangt (UNHCR, Guide-lines, 2007, S. 165 f.). In allen drei Provinzen - in Dohuk allerdings nur bei allein-stehenden Männern - braucht es für die definitive Niederlassung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Suleimaniya sind gewisse Berufsgruppen allerdings von dieser Pflicht ausgenommen. In der Praxis wurde sodann auch auf eine Gewährsperson verzichtet, wenn Abklärungen ergaben, dass die intern vertriebene Person kein Sicherheitsrisiko darstellt und an ihrem Herkunftsort gefährdet war (UNHCR, a.a.O., S. 167). In diesem Zu-sammenhang ist bei jeder Einzelfallprüfung beachtlich, dass eine ab-wehrende Haltung der kurdischen Behörden insbesondere gegenüber kritischen Medienschaffenden und oppositionellen Politikern besteht. Auch gegenüber Personen, die das ehemalige Regime aktiv unter-stützt haben oder für Menschenrechtsverletzungen verantwortlich zu machen sind, ist der Schutzwille der kurdischen Behörden zu bezwei-feln. Schliesslich ist auch zu prüfen, ob die intern vertriebene Person einer möglicherweise diskriminierten Bevölkerungsgruppe angehört (BVGE 2008/4).</w:t>
      </w:r>
    </w:p>
    <w:p>
      <w:r>
        <w:rPr>
          <w:b/>
        </w:rPr>
        <w:t>E. 8.2</w:t>
      </w:r>
    </w:p>
    <w:p>
      <w:r>
        <w:t>Vorliegend ist festzustellen, dass der Beschwerdeführer eigenen Angaben zufolge (Akten BFM A2/9 S. 6) vor seiner Ausreise aus dem Zentralirak politisch nicht aktiv war und in keiner Weise mit Menschen-rechtsverletzungen oder terroristischen Aktivitäten in Zusammenhang gebracht werden kann. Des Weiteren weist er kein Profil auf, das ihn in den Augen der kurdischen Behörden als potenziellen politischen Geg-ner erscheinen lassen könnte. Beim Beschwerdeführer handelt es sich um eine der irakischen Zentralregierung gegenüber loyale Person, die nebst ihrer Übersetzertätigkeit für die Amerikaner auch für das iraki-sche Innenministerium arbeitete. Zudem bestehen aufgrund der Akten keine Anhaltpunkte dafür, er gehöre einer diskriminierten Bevölke-rungsgruppe an. Da somit aus der Sicht der kurdischen Behörden kei-ne Hinweise auf ein möglicherweise bestehendes Sicherheitsrisiko vorliegen, ist davon auszugehen, dass für den Beschwerdeführer die Einreise in den Norden und die Erlangung einer Niederlassungsbe-willigung möglich sind. Es kann deshalb offengelassen werden, ob er im Norden über eine Gewährsperson verfügt beziehungsweise zu ei-ner solchen kommen könnte. Der Beschwerdeführer könnte demnach in einer der drei Nordprovinzen des Iraks effektiven Schutz vor Verfol-gung erlangen, zumal das Bundesverwaltungsgericht aufgrund einer umfassenden Beurteilung der Situation in den drei nordirakischen Provinzen Dohuk, Suleimaniya und Erbil - dem eigentlichen "Nordirak" - davon ausgeht, dass die Sicherheits- und Justizbehörden der drei irakisch-kurdischen Nordprovinzen grundsätzlich in der Lage und auch willens sind, den Einwohnern Schutz vor Verfolgung zu gewähren (BVGE 2008/4). Zudem kann entgegen den diesbezüglichen Ausfüh-rungen in der Rechtsmitteleingabe ausgeschlossen werden, dass die nordirakischen Behörden terroristische Aktivitäten der (...) auf ihrem Hoheitsgebiet tolerieren.</w:t>
      </w:r>
    </w:p>
    <w:p>
      <w:r>
        <w:rPr>
          <w:b/>
        </w:rPr>
        <w:t>E. 8.3</w:t>
      </w:r>
    </w:p>
    <w:p>
      <w:r>
        <w:t>Zusammenfassend ergibt sich, dass dem Beschwerdeführer hinsichtlich seiner Herkunftsregion begründete Furcht vor Verfolgung zugestanden werden kann; er kann aber im kurdisch kontrollierten Teil des Iraks um effektiven Schutz nachsuchen. Er erfüllt die Flüchtlingseigenschaft demzufolge nicht, weshalb das BFM sein Asylgesuch zu Recht abgewiesen hat. Die Frage der Zumutbarkeit des Verbleibs am Zufluchtsort, insbesondere in Bezug auf die Möglichkeit, auch tatsächlich dort leben und sich eine Existenzgrundlage aufbauen zu können, ist gemäss geltender Praxis nicht im Rahmen des Bestehens der Flüchtlingseigenschaft, sondern unter dem Aspekt des Vorliegens von Wegweisungsvollzugshindernissen zu prüfen ( EMARK 1996 Nr. 1; kritisch dazu: UNHCR-Richtlinien zum internationalen Schutz Nr. 4 "Interne Flucht- und Neuansiedlungsalternative", 23. Juli 2003, S. 7 ff.; anders auch EU-Qualifikationsrichtlinie 2004/83/EG über Mindestnormen für die Anerkennung und den Status von Drittstaatsangehörigen oder Staatenlosen als Flüchtlinge in Art. 8 Abs. 1: "...und von dem Antragsteller vernünftigerweise erwartet werden kann, dass er sich in diesem Landesteil aufhält"). An dieser Stelle ist der Vollständigkeit halber darauf hinzuweisen, dass gemäss herrschender Praxis der Wegweisungsvollzug in die Nordprovinzen grundsätzlich als unzumutbar angesehen wird, wenn die betreffende Person nicht ursprünglich aus dieser Region stammt oder längere Zeit dort gelebt hat und über ein soziales Netz verfügt (BVGE 2008/5).</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10</w:t>
      </w:r>
    </w:p>
    <w:p>
      <w:r>
        <w:t>Da der Beschwerdeführer mit der angefochtenen Verfügung in der Schweiz vorläufig aufgenommen wurde, erübrigen sich Ausführungen zur Zulässigkeit, Zumutbarkeit und Möglichkeit des Vollzugs der Wegweisung, denn die erwähnten drei Bedingungen für einen Verzicht auf den Vollzug der Wegweisung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1997 Nr. 27 S. 205 ff.).</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Mit dem Entscheid in der Hauptsache ist der Antrag auf Verzicht auf die Erhebung eines Kostenvorschusses gegenstandslos geworden. Der Antrag auf unentgeltliche Rechtspflege (Art. 65 Abs. 1 VwVG) ist gutzuheissen, weil die Bedürftigkeit des Beschwerdeführers mit der eingereichten Bestätigung der Fürsorgeabhängigkeit belegt ist und sich die gestellten Rechtsbegehren aufgrund vorstehender Erwägun-gen nicht als aussichtslos erweisen. Der Beschwerdeführer ist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