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E-7088/2007 vom 22. September 2010</w:t>
      </w:r>
    </w:p>
    <w:p>
      <w:r>
        <w:t>Bundesverwaltungsgericht, 2010-09-22, DE</w:t>
      </w:r>
    </w:p>
    <w:p>
      <w:r>
        <w:rPr>
          <w:b/>
        </w:rPr>
        <w:t xml:space="preserve">Quelle: </w:t>
      </w:r>
      <w:r>
        <w:t>https://mcp.opencaselaw.ch/entscheid/bvger_E-7088_2007</w:t>
      </w:r>
    </w:p>
    <w:p>
      <w:r>
        <w:t>FR: TAF E-7088/2007 du 22 septembre 2010</w:t>
      </w:r>
    </w:p>
    <w:p>
      <w:r>
        <w:t>IT: TAF E-7088/2007 del 22 settembre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4.1</w:t>
      </w:r>
    </w:p>
    <w:p>
      <w:r>
        <w:t>Die Verfügung des BFM vom 23. Mai 2006 blieb unangefochten und ist in Rechtskraft erwachsen, weshalb die Beschwerdevorbringen betreffend die Flüchtlingseigenschaft des Beschwerdeführers im vorliegenden Verfahren nicht geprüft werden können. Der Gegenstand der Beschwerde ist somit auf die Frage beschränkt, ob die Vorinstanz die vorläufige Aufnahme des Beschwerdeführers mit Verfügung vom 20. September 2007 zu Recht aufgehoben hat.</w:t>
      </w:r>
    </w:p>
    <w:p>
      <w:r>
        <w:rPr>
          <w:b/>
        </w:rPr>
        <w:t>E. 4.2</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23. Mai 2006 vorläufig aufgenommen wurde, ist aufgrund der genannten übergangsrechtlichen Regelung das Vorliegen der Voraussetzungen für die Aufhebung der vorläufigen Aufnahme nach neuem Recht - mithin nach Art. 84 Abs. 2 AuG - zu prüfen.</w:t>
      </w:r>
    </w:p>
    <w:p>
      <w:r>
        <w:rPr>
          <w:b/>
        </w:rPr>
        <w:t>E. 4.3</w:t>
      </w:r>
    </w:p>
    <w:p>
      <w:r>
        <w:t>Wurde eine ausländische Person in der Schweiz vorläufig aufgenommen, so überprüft das BFM periodisch, ob im konkreten 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4.4</w:t>
      </w:r>
    </w:p>
    <w:p>
      <w:r>
        <w:t>Zu prüfen ist im vorliegenden Beschwerdeverfahren demnach, ob das BFM den Wegweisungsvollzug zu Recht als zulässig, zumutbar und möglich erklärt hat.</w:t>
      </w:r>
    </w:p>
    <w:p>
      <w:r>
        <w:rPr>
          <w:b/>
        </w:rPr>
        <w:t>E. 4.5</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w:t>
      </w:r>
    </w:p>
    <w:p>
      <w:r>
        <w:t>Vorab ist in verfahrensrechtlicher Hinsicht festzuhalten, dass die Vorinstanz mit in deutscher Sprache verfasstem Schreiben vom 15. August 2007 dem Beschwerdeführer rechts- und praxiskonform das rechtliche Gehör im Hinblick auf die Aufhebung der vorläufigen Aufnahme und den Wegweisungsvollzug gewährt hat. Der in der Beschwerde vorgebrachte Einwand, der Beschwerdeführer habe "sein Recht" zur Stellungnahme infolge mangelnder Sprachkenntnisse nicht wahrnehmen können, vermag an dieser Einschätzung nichts zu ändern.</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Das BFM wies in der angefochtenen Verfügung zutreffend darauf hin, dass der Grundsatz der Nichtrückschiebung nur Personen schützt, die die Flüchtlingseigenschaft erfüllen (vgl. Mario Gattiker, Das Asyl- und Wegweisungsverfahren, 3. Aufl., Bern 1999, S. 89). Mit unangefochten gebliebener und somit in Rechtskraft erwachsener Verfügung vom 23. Mai 2006 wurde festgestellt, dass der Beschwerdeführer die Flüchtlingseigenschaft gemäss Art. 3 AsylG nicht erfüllt, weshalb das in Art. 5 AsylG verankerte Prinzip des flüchtlingsrechtlichen Non-Refoulements im vorliegenden Verfahren keine Anwendung finden kann. Eine Rückkehr des Beschwerdeführers in den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Nach Praxis des Bundesverwaltungsgerichts lässt schliesslich auch die allgemeine Sicherheits- und Menschenrechtslage in den drei kurdischen Provinzen Dohuk, Erbil und Sulaymaniya den Wegweisungsvollzug nicht als unzulässig erscheinen, da von hinreichend gefestigten Verhältnissen auszugehen ist und die Sicherheits- und Justizbehörden der drei kurdischen Provinzen grundsätzlich in der Lage und willens sind, den Einwohnern Schutz vor Verfolgung zu gewähren.</w:t>
      </w:r>
    </w:p>
    <w:p>
      <w:r>
        <w:rPr>
          <w:b/>
        </w:rPr>
        <w:t>E. 5.2.3</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5.3.2</w:t>
      </w:r>
    </w:p>
    <w:p>
      <w:r>
        <w:t>Das Bundesverwaltungsgericht geht gemäss seiner nach wie vor aktuellen Praxis davon aus, dass in den drei kurdischen Provinzen Dohuk, Erbil und Sulaymaniya keine Situation allgemeiner Gewalt herrscht und die dortige politische Lage nicht dermassen angespannt ist, dass eine Rückführung dorthin generell als unzumutbar betrachtet werden müsste (Entscheide des Schweizerischen Bundesverwaltungsgerichts [BVGE] 2008/5 E. 7.5.8 S. 72). Zusammenfassend wird im erwähnten 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5.3.3</w:t>
      </w:r>
    </w:p>
    <w:p>
      <w:r>
        <w:t>Die Sicherheitssituation in den drei kurdischen Provinzen hat sich seit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Schweizerische Flüchtlingshilfe (SFH) bezeichnet die Sicherheitslage im Nordirak als "vergleichsweise friedlich und stabil" (Michael Kirschner, SFH, Irak, Update: Aktuelle Entwicklungen, 14. August 2008, Ziff. 3.1, S. 9). Zwar hat das türkische Militär in den Jahren 2007 und 2008 - wie vom Beschwerdeführer vorgebracht - eine Offensive gegen PKK-Stellungen im Nordirak geführt, die allgemeine Sicherheitslage wurde dadurch jedoch nicht beeinflusst (vgl. a.a.O.). Auch das Amt des Hohen Flüchtlingskommissars der Vereinten Nationen (UNHCR) bestätigt in einem aktuellen Bericht von Juli 2010 die relativ stabile Sicherheitslage in den drei kurdischen Provinzen (vgl. Unhcr, Note on the Continued Applicability of the April 2009 UNHCR Eligibility Guidelines for Assessing the International Protection Needs of Iraqi Asylum-Seekers, Juli 2010, S. 2). Die Vorbringen des Beschwerdeführers betreffend die allgemeine Sicherheitslage im Nordirak vermögen demnach nicht zu überzeugen.</w:t>
      </w:r>
    </w:p>
    <w:p>
      <w:r>
        <w:rPr>
          <w:b/>
        </w:rPr>
        <w:t>E. 5.3.4</w:t>
      </w:r>
    </w:p>
    <w:p>
      <w:r>
        <w:t>Der Beschwerdeführer ist ein junger, alleinstehender Mann ohne aktenkundige gesundheitliche Probleme. Er ist kurdischer Ethnie und Sprache und hat - abgesehen von einem kurzen dreimonatigen Aufenthalt in der Türkei - seit seiner Geburt bis zur Ausreise in C._______ gelebt, wo auch seine Eltern und neun Geschwister ansässig sind. Nebst dem familiären Beziehungsnetz verfügt er in C._______ über weitere soziale Anknüpfungspunkte. Er hat in den Jahren (...) bei den Peschmerga, den Milizen der kurdischen Parteien, gedient und anschliessend bis zur Ausreise mehrere Jahre lang auf dem Bau gearbeitet. Vor diesem Hintergrund kann davon ausgegangen werden, dass der Beschwerdeführer nach seiner Rückkehr in den Nordirak in der Lage sein wird, sich wiederum eine tragfähige Existenz aufzubauen. Es ist demnach nicht davon auszugehen, dass der Beschwerdeführer bei seiner Rückkehr in die Heimatstadt aus individuellen Gründen wirtschaftlicher, sozialer oder gesundheitlicher Natur in eine existenzbedrohende Situation geraten würde.</w:t>
      </w:r>
    </w:p>
    <w:p>
      <w:r>
        <w:rPr>
          <w:b/>
        </w:rPr>
        <w:t>E. 5.3.5</w:t>
      </w:r>
    </w:p>
    <w:p>
      <w:r>
        <w:t>Nach dem Gesagten erweist sich der Vollzug der Wegweisung sowohl aufgrund der allgemeinen Sicherheitslage in den drei kurdi-schen Provinzen als auch in individueller Hinsicht als zumutbar.</w:t>
      </w:r>
    </w:p>
    <w:p>
      <w:r>
        <w:rPr>
          <w:b/>
        </w:rPr>
        <w:t>E. 5.4</w:t>
      </w:r>
    </w:p>
    <w:p>
      <w:r>
        <w:t>Schliesslich obliegt es dem Beschwerdeführer aufgrund seiner Mitwirkungspflicht, sich bei der zuständigen Vertretung des Heimatstaates die für eine Rückkehr notwendigen Reisedokumente zu beschaffen, weshalb der Vollzug der Wegweisung auch als möglich zu bezeichnen ist (Art. 83 Abs. 2 AuG).</w:t>
      </w:r>
    </w:p>
    <w:p>
      <w:r>
        <w:rPr>
          <w:b/>
        </w:rPr>
        <w:t>E. 6</w:t>
      </w:r>
    </w:p>
    <w:p>
      <w:r>
        <w:t>Insgesamt ist die durch die Vorinstanz verfügte Aufhebung der vorläufigen Aufnahme zu bestätigen. Die Vorinstanz hat den Vollzug der Wegweisung zu Recht als zulässig, zumutbar und möglich erachtet. Es erübrigt sich, auf die weiteren Ausführungen in der Eingabe des Beschwerdeführers einzugehen, da sie an dieser Würdigung nichts zu ändern vermögen.</w:t>
      </w:r>
    </w:p>
    <w:p>
      <w:r>
        <w:rPr>
          <w:b/>
        </w:rPr>
        <w:t>E. 7</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8</w:t>
      </w:r>
    </w:p>
    <w:p>
      <w:r>
        <w:t>Da die in der Beschwerdeeingabe implizit in Aussicht gestellte Fürsorgebestätigung nicht eingereicht worden ist, ist die Bedürftigkeit nicht belegt und das Gesuch um Gewährung der unentgeltlichen Rechtspflege abzuweisen.</w:t>
      </w:r>
    </w:p>
    <w:p>
      <w:r>
        <w:rPr>
          <w:b/>
        </w:rPr>
        <w:t>E. 9</w:t>
      </w:r>
    </w:p>
    <w:p>
      <w:r>
        <w:t>Bei diesem Ausgang des Verfahrens sind die Kosten dem Beschwerdeführer aufzuerlegen (Art. 63 Abs. 1 und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