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E-7087/2010 vom 29. März 2011</w:t>
      </w:r>
    </w:p>
    <w:p>
      <w:r>
        <w:t>Bundesverwaltungsgericht, 2011-03-29, DE</w:t>
      </w:r>
    </w:p>
    <w:p>
      <w:r>
        <w:rPr>
          <w:b/>
        </w:rPr>
        <w:t xml:space="preserve">Quelle: </w:t>
      </w:r>
      <w:r>
        <w:t>https://mcp.opencaselaw.ch/entscheid/bvger_E-7087_2010</w:t>
      </w:r>
    </w:p>
    <w:p>
      <w:r>
        <w:t>FR: TAF E-7087/2010 du 29 mars 2011</w:t>
      </w:r>
    </w:p>
    <w:p>
      <w:r>
        <w:t>IT: TAF E-7087/2010 del 29 marzo 2011</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Abs. 1 und Art. 105 AsylG i.V.m. Art. 37 VGG,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verfügte (Nichteintretensentscheid) auf der Grundlage von Art. 34 Abs. 1 AsylG. Bei Beschwerden gegen Nichteintretensentscheide, mit denen es das Bundesamt ablehnt, das Asylgesuch auf seine Begründetheit hin zu überprüfen (Art. 32 - 35 AsylG), ist die Beurteilungskom-petenz der Beschwerdeinstanz praxisgemäss auf die Überprüfung der Frage beschränkt, ob die Vorinstanz zu Recht auf das Asylgesuch nicht eingetreten ist. Die Beschwerdeinstanz enthält sich, sofern sie die Anwendung des Nichteintretenstatbestandes als unrechtmässig erachtet, einer selbständigen materiellen Prüfung, hebt die angefochtene Verfügung auf und weist die Sache zu neuer Entscheidung an die Vorinstanz zurück (Entscheidungen und Mitteilungen der [vormaligen] Schweizerischen Asylrekurskommission [EMARK] 2004 Nr. 34 E. 2.1 S. 240 f.).</w:t>
      </w:r>
    </w:p>
    <w:p>
      <w:r>
        <w:rPr>
          <w:b/>
        </w:rPr>
        <w:t>E. 4.1</w:t>
      </w:r>
    </w:p>
    <w:p>
      <w:r>
        <w:t>Gemäss Art. 34 Abs. 1 AsylG wird auf Gesuche von Asylsuchenden aus verfolgungssicheren Staaten nach Art. 6a Abs. 2 Bst. a AsylG nicht eingetreten, ausser es gebe Hinweise auf eine Verfolgung.</w:t>
      </w:r>
    </w:p>
    <w:p>
      <w:r>
        <w:rPr>
          <w:b/>
        </w:rPr>
        <w:t>E. 4.2</w:t>
      </w:r>
    </w:p>
    <w:p>
      <w:r>
        <w:t>Praxisgemäss kommt bei Art. 34 Abs. 1 AsylG derselbe weite Ver­folgungsbegriff zur Anwendung wie bei den Art. 18, Art. 33 Abs. 3 Bst. b und Art. 35 AsylG (vgl. zu den beiden erstgenannten Bestimmungen EMARK 2004 Nr. 35 E. 4.3 S. 247). Dieser weite Verfolgungsbegriff umfasst nicht bloss ernsthafte Nachteile im Sinn von Art. 3 AsylG, sondern auch die von Menschenhand verursachten Wegweisungshindernisse im Sinne von Art. 44 Abs. 2 AsylG i.V.m. Art. 83 Abs. 3 und 4 AuG (EMARK 2004 Nr. 5 E. 4c.aa S. 35 f., EMARK 2004 Nr. 35 E. 4.3 S. 247). Zudem ist dabei ein im Vergleich zum (bereits erleichterten) Beweismass des Glaubhaftmachens nochmals reduzierter Massstab anzuwenden: Sobald sich aus den Akten Hinweise auf Verfolgung ergeben, deren Unglaubhaftigkeit nicht bereits auf den ersten Blick erkannt werden kann, muss auch bei Asylgesuchen aus verfolgungssicheren Staaten die Flüchtlingseigenschaft einlässlich geprüft werden (vgl. im Sinne von Beispielen EMARK 2005 Nr. 2 E. 4.3 S. 16 f. und EMARK 2004 Nr. 35 E. 4.3 S. 247).</w:t>
      </w:r>
    </w:p>
    <w:p>
      <w:r>
        <w:rPr>
          <w:b/>
        </w:rPr>
        <w:t>E. 5.1</w:t>
      </w:r>
    </w:p>
    <w:p>
      <w:r>
        <w:t>Die Vorinstanz führte zur Begründung der angefochtenen Verfügung an, falls der Bundesrat einen Staat nach erfolgter Lageanalyse als verfolgungssicher bezeichne, bestehe die gesetzliche Regelvermutung, dass dort asylrelevante Verfolgung nicht stattfinde und Schutz vor nichtstaatlicher Verfolgung gewährleistet sei. Es handle sich hierbei um eine relative Verfolgungssicherheit, welche im Einzelfall aufgrund konkreter und substanziierter Hinweise umgestossen werden könne. Seit (...) habe sich (...) von einem zentralistischen Einparteienstaat zu einer parlamentarischen Mehrparteiendemokratie entwickelt. Die neue Verfassung von (...) habe internationale Menschenrechtsstandards integriert, die in der Praxis umgesetzt würden. Auch die Presse- und Meinungsäusserungsfreiheit seien von der Verfassung garantiert und in der Praxis gewährleistet. Zudem lägen aus der jüngeren Vergangenheit auch keine Berichte von internationalen Menschenrechtsorganisationen oder Beobachtern über staatliche Verfolgung in (...) aus ethnischen, religiösen, nationalen Gründen oder wegen der Zugehörigkeit zu einer bestimmten sozialen oder politischen Gruppe vor. Angesichts der aufgezeigten innenpolitischen Situation habe der Bun­desrat mit Beschluss vom (...) (...) als verfolgungssicheren Staat bezeichnet. Deshalb trete das BFM auf Asylgesuche (...) Staatsangehöriger nicht ein, ausser die Anhörung ergebe Hinwiese auf eine Verfolgung. Derartige Hinweise, welche die widerlegbare Vermutung der Verfolgungssicherheit gemäss Art. 6a Abs. 2 Bst. a AsylG umstossen könnten, seien im vorliegenden Fall aus den Akten jedoch nicht ersichtlich. Das Vorbringen des Beschwerdeführers, er habe in (...) im Auftrag des (...) Staates als (...) gearbeitet, indem er (...), erscheine unglaubhaft, zumal (...) die (...)ischen Behörden (...). Diese Schlussfolgerung ergebe sich auch aus dem Umstand, dass der (...) Staat mit Sicherheit nicht den in (...) Hinsicht völlig unerfahrenen Beschwerdeführer (...) in einem fremden Land für (...) eingesetzt hätte. Der Beschwerdeführer habe denn auch nicht geltend gemacht, speziell für eine solche (...)tätigkeit ausgebildet worden zu sein. Zudem könne auch nicht geglaubt werden, dass es ihm gelungen sei, lediglich mit (...). Es sei daran zu erinnern, dass in (...) beinahe (...) Millionen Menschen leben würden, was die geltend gemachte Vorgehensweise weiter ausschliesse. Hinzu komme, dass zwischen der ersten und der zweiten Anhörung inhaltliche Widersprüche in seinen Aussagen bestünden. Für die geltend gemachte Haft gebe es keinerlei Beweismittel und seine Schilderungen zur Flucht seien unglaubhaft. Insbesondere könne nicht geglaubt werden, dass ihm ein Gefängnisarzt angesichts der zu gewärtigenden Konsequenzen zur Flucht verholfen habe. Des Weiteren seien auch die diesbezüglichen Aussagen der Beschwerdeführerin bar jeder Glaubhaftigkeit. Ihre Erklärung anlässlich der Anhörung vom 1. Juni 2006 (recte: 1. Juni 2007), ihr Ehemann habe ihr bei einem Besuch im Gefängnis in Anwesenheit des Bewachungspersonals gesagt, er komme bald ins Spital und werde versuchen, von dort aus zu flüchten, sie solle sich mit einem Freund und weitere Vorkehrungen treffen, sei realitätsfremd. Vor diesem Hintergrund seien die Vorbringen der Beschwerdeführenden als wenig durchdachtes, unglaubhaftes Konstrukt zu qualifizieren. Aus den Akten ergäben sich somit keine Hinweise, welche die widerlegbare Vermutung von Art. 6a Abs. 2 Bst. a AsylG umstossen könnten. Somit werde in Anwendung von Art. 34 Abs. 1 AsylG auf das Asylgesuch (recte: die Asylgesuche) der Beschwerdeführenden nicht eingetreten. Die Wegweisung aus der Schweiz sei die Regelfolge des Nichteintretens auf ein Asylgesuch und deren Vollzug vorliegend zulässig, zumutbar und möglich.</w:t>
      </w:r>
    </w:p>
    <w:p>
      <w:r>
        <w:rPr>
          <w:b/>
        </w:rPr>
        <w:t>E. 5.2</w:t>
      </w:r>
    </w:p>
    <w:p>
      <w:r>
        <w:t>In der Rechtsmitteleingabe vom 29. September 2010 und in der Beschwerdeergänzung vom 30. September 2010 wird unter anderem unter Zitierung von Aussagen aus dem Anhörungsprotokoll des Beschwerdeführers entgegnet, die Vorbringen der Beschwerdeführenden vermöchten den Anforderungen an die Glaubhaftigkeit zu genügen. Der Beschwerdeführer sei aufgrund seiner Kenntnisse der (...) Sprache und seiner zahlreichen Kontakte für eine Tätigkeit als (...) sehr geeignet gewesen. Zudem sei es angesichts der in (...) herrschenden Korruption durchaus denkbar, dass sich ein Gefängnisarzt bestechen lasse. Des Weiteren enthielten die Schilderungen des Beschwerdeführers zahlreiche Realkennzeichen wie Detailreichtum, Beschreibungen von Emotionen und Gedankengängen, räumliche und zeitliche Verknüpfung der erzählten Ereignisse sowie nebensächliche und ausgefallene Einzelheiten. Daraus ergebe sich, dass die Beschwerdeführenden tatsächlich erlebte Begebenheiten widergeben würden. Dasselbe gelte in Bezug auf die Aussagen der Beschwerdeführerin zu ihrem Gefängnisbesuch. Die Tatsache, dass die freie Schilderung des Beschwerdeführers zu seinen Asylgründen rund zwei Protokollseiten umfasse, und die Anhörung insgesamt über sechs Stunden gedauert habe, stellten weitere Indizien dafür dar, dass es sich bei den Vorbringen des Beschwerdeführenden nicht um ein wenig durchdachtes, unglaubhaftes Konstrukt handle. Sobald sich Hinweise auf eine Verfolgung ergäben, bei denen gemäss der vom Bundesverwaltungsgericht übernommenen Rechtsprechung der vormals zuständigen ARK ein im Vergleich zum bereits erleichterten Beweismass des Glaubhaftmachens nochmals reduzierter Massstab anzuwenden sei und deren Unglaubhaftigkeit nicht bereits auf den ersten Blick erkennbar sei, müsse wie vorliegend (in den umfangreichen Protokollen würden sich offensichtlich Hinweise finden, die nicht auf den ersten Blick unglaubhaft seien, zudem seien die Asylgesuche über drei Jahre und vier Monate beim BFM hängig gewesen) auch bei Asylgesuchen aus verfolgungssicheren Staaten die Flüchtlingseigenschaft einlässlich geprüft wer-den. Damit ergebe sich, dass die angefochtene Verfügung des Bundesamtes nicht mit der Rechtsprechung des Bundesverwaltungsgerichtes vereinbar sei. Das BFM wäre gehalten gewesen, die Asylgesuche der Beschwerdeführenden materiell zu prüfen.</w:t>
      </w:r>
    </w:p>
    <w:p>
      <w:r>
        <w:rPr>
          <w:b/>
        </w:rPr>
        <w:t>E. 6.1</w:t>
      </w:r>
    </w:p>
    <w:p>
      <w:r>
        <w:t>Die Beschwerdeführenden erklärten anlässlich der Befragungen, sie seien (...) Staatsangehörige und reichten ihre Identitätskarten zu den Akten. Die geltend gemachte Staatsangehörigkeit wurde auch vom Bundesamt nicht bestritten, weshalb davon auszugehen ist, dass es sich bei den Beschwerdeführenden tatsächlich um (...) Staatsangehörige handelt. Mit Beschluss vom (...) hat der Bundesrat (...) als verfolgungssicheren Staat ("safe country") im Sinne von Art. 6a Abs. 2 Bst. a AsylG bezeichnet. Dieser Beschluss ist gemäss Art. 6a Abs. 3 AsylG periodisch überprüft und stillschweigend bestätigt worden. Nach dem Gesagten sind die formellen Voraussetzungen für den Erlass eines Nichteintretensentscheides auf der Grundlage von Art. 34 Abs. 1 AsylG erfüllt.</w:t>
      </w:r>
    </w:p>
    <w:p>
      <w:r>
        <w:rPr>
          <w:b/>
        </w:rPr>
        <w:t>E. 6.2</w:t>
      </w:r>
    </w:p>
    <w:p>
      <w:r>
        <w:t>Zu prüfen bleibt, ob sich aus den Akten Hinweise auf eine Verfolgung ergeben, deren Unglaubhaftigkeit nicht bereits auf den ersten Blick erkannt werden kann und die deshalb der Anwendbarkeit von Art. 34 Abs. 1 AsylG entgegenstehen. Das BFM führt hierzu in der angefochtenen Verfügung mit entsprechender Begründung aus, es erscheine unwahrscheinlich, dass der Beschwerdeführer vom (...) Staat mit einer (...)tätigkeit in (...) beauftragt worden sei. Sowohl die Schilderungen des Beschwerdeführers zur Haft und zur anschliessenden Flucht als auch diejenigen der Beschwerdeführerin zu ihrem Besuch im Gefängnis seien realitätsfremd und deshalb unglaubhaft. Hinzu komme, dass zwischen den Aussagen des Beschwerdeführers bei der Kurzbefragung und anlässlich der Anhörung zu seinen Asylgründen inhaltliche Widersprüche bestünden. Daraus und auch aus der übrigen Argumentation des BFM ist zu schliessen, dass sich die Vorinstanz materiell mit den Vorbringen der Beschwerdeführenden auseinandergesetzt und diese einer Glaubhaftigkeitsprüfung nach dem Massstab von Art. 7 AsylG unterzogen hat. Dies ist mit der von der ARK übernommenen Praxis des Bundesverwaltungsgerichts unvereinbar, wonach die Beweismassanforderungen, welchen die Verfolgungshinweise im Sinne von Art. 34 Abs. 1 AsylG zu genügen haben, um einen Nichteintretensentscheid auszuschliessen, tief anzusetzen sind. Sobald die Hinweise auf eine Verfolgung nicht auf den ersten Blick als unglaubhaft erkennbar sind, bleibt für einen Nichteintretensentscheid, wie vorstehend unter Erwägung 4.2. erwähnt, kein Raum. Angesichts dieser Sachlage ist festzustellen, dass die von den Beschwerdeführenden geltend gemachten Nachstellungen durch die (...) Behörden nicht als auf den ersten Blick unglaubhaft qualifiziert werden können. Zu Recht wird in den Rechtsmitteleingaben denn auch eingewendet, die Unglaubhaftigkeit der Hinweise auf Verfolgung sei angesichts der einlässlichen Anhörung des Beschwerdeführers zu seinen Asylgründen und der langen Dauer des erstinstanzlichen Asylverfahrens (über drei Jahre und vier Monate) offenbar auch für das BFM nicht auf den ersten Blick erkennbar gewesen. Dem Bundesamt ist es somit nicht gelungen, seine Feststellung, es lägen keine Hinweise auf Verfolgung vor, korrekt zu begründen. Eine Beurteilung, wie sie das BFM in der angefochtenen Verfügung vorgenommen hat, kann nur im Rahmen einer materiellen Prüfung der Asylgesuche im ordentlichen Verfahren erfolgen und ist bei einem Nichteintretensentscheid unzulässig. Demnach ist die Vorinstanz zu Unrecht gestützt auf Art. 34 Abs. 1 AsylG auf die Asylgesuche der Beschwerdeführenden nicht eingetreten. Aus den Akten ergeben sich zudem keine Anhaltspunkte für das Vorhandensein eines anderen gesetzlichen Nichteintretenstatbestandes, der vorliegend erfüllt sein könnte.</w:t>
      </w:r>
    </w:p>
    <w:p>
      <w:r>
        <w:rPr>
          <w:b/>
        </w:rPr>
        <w:t>E. 6.3</w:t>
      </w:r>
    </w:p>
    <w:p>
      <w:r>
        <w:t>Die Beschwerde ist somit gutzuheissen und die angefochtene Verfügung vom 21. September 2010 ist aufzuheben. Die Sache wird zur materiellen Prüfung der Asylgesuche an die Vorinstanz zurückgewiesen.</w:t>
      </w:r>
    </w:p>
    <w:p>
      <w:r>
        <w:rPr>
          <w:b/>
        </w:rPr>
        <w:t>E. 7.1</w:t>
      </w:r>
    </w:p>
    <w:p>
      <w:r>
        <w:t>Bei diesem Ausgang des Beschwerdeverfahrens sind keine Verfah­renskosten aufzuerlegen (Art. 63 Abs. 1 VwVG).</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Seitens der Rechtsvertretung liegt keine Kostennote vor, weshalb die Entschädigung für das Beschwerdeverfahren aufgrund der Akten festzusetzen ist (Art. 14 Abs. 2 in fine VGKE). Unter Berücksichtigung der massgebenden Bemessungsfaktoren (Art. 9 - 13 VGKE) und der Entschädigungspraxis in Vergleichsfällen ist das BFM anzuweisen, den Beschwerdeführenden für das Rechtsmittelverfahren eine Parteientschädigung in der Höhe von pauschal Fr. 600.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