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E-7082/2006 vom 31. Januar 2008</w:t>
      </w:r>
    </w:p>
    <w:p>
      <w:r>
        <w:t>Bundesverwaltungsgericht, 2008-01-31, FR</w:t>
      </w:r>
    </w:p>
    <w:p>
      <w:r>
        <w:rPr>
          <w:b/>
        </w:rPr>
        <w:t xml:space="preserve">Quelle: </w:t>
      </w:r>
      <w:r>
        <w:t>https://mcp.opencaselaw.ch/entscheid/bvger_E-7082_2006</w:t>
      </w:r>
    </w:p>
    <w:p>
      <w:r>
        <w:t>FR: TAF E-7082/2006 du 31 janvier 2008</w:t>
      </w:r>
    </w:p>
    <w:p>
      <w:r>
        <w:t>IT: TAF E-7082/2006 del 31 gennaio 2008</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(LAsi, RS 142.31).</w:t>
      </w:r>
    </w:p>
    <w:p>
      <w:r>
        <w:rPr>
          <w:b/>
        </w:rPr>
        <w:t>E. 1.2</w:t>
      </w:r>
    </w:p>
    <w:p>
      <w:r>
        <w:t>Les recours qui étaient pendants devant l'ancienne CRA au 31 décembre 2006 sont traitées par le Tribunal administratif fédéral dans la mesure où il est compétent (art. 53 al. 2 phr. 1 LTAF).</w:t>
      </w:r>
    </w:p>
    <w:p>
      <w:r>
        <w:rPr>
          <w:b/>
        </w:rPr>
        <w:t>E. 1.3</w:t>
      </w:r>
    </w:p>
    <w:p>
      <w:r>
        <w:t>Le nouveau droit de procédure s'applique (art. 53 al. 2 phr. 2 LTAF).</w:t>
      </w:r>
    </w:p>
    <w:p>
      <w:r>
        <w:rPr>
          <w:b/>
        </w:rPr>
        <w:t>E. 1.4</w:t>
      </w:r>
    </w:p>
    <w:p>
      <w:r>
        <w:t>L'intéressée a qualité pour recourir. Présenté dans la forme et les délais prescrits par la loi, le recours est recevable (art. 48 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récit de l'intéressée ne satisfait pas aux exigences de vraisemblance posées à l'art. 7 LAsi. En effet, dans leur ensemble, ses déclarations sont stéréotypées, imprécises et insuffisamment détaillées. Celles concernant le lieu où elle aurait été arrêtée (au travail ou ailleurs), la description du bâtiment dans lequel elle aurait été séquestrée et la manière dont son prétendu ami a été assassiné manquent particulièrement de consistance. De plus, il n'est pas convaincant que l'intéressée ait été interrogée intensivement à propos de C._______ dès lors qu'elle n'a pas de profil particulier. En effet, elle n'aurait été en contact avec ce dernier que très occasionnellement et a nié avoir été active politiquement dans son pays d'origine. Par ailleurs, l'intéressée n'a pas spontanément rapporté les questions qui lui ont été posées lors de ces interrogatoires mais s'est contentée d'affirmer, de manière générale, que ses ravisseurs l'ont questionnée sur sa relation avec C._______et ont insisté pour qu'elle leur rapporte ce que celui-ci lui avait dit. Or, il n'est pas plausible qu'elle n'ait pas été soumise à un questionnement précis et ciblé dès lors que C._______ qui suscitait l'intérêt des ravisseurs venait d'être assassiné. De même, il est inconcevable que les ravisseurs se soient obstinés en séquestrant à deux reprises l'intéressée mais n'aient pas fouillé son domicile (cf. p.-v. d'audition du [...] p. 10). Par ailleurs, contrairement à ce qu'a soutenu la recourante, ses certificats de travail ne sont pas aptes à rendre vraisemblable sa relation avec C._______puisqu'elle n'a pas travaillé pour ce dernier. Par ailleurs, elle n'a pas précisé, lors des auditions, avoir fait sa connaissance dans un cadre professionnel. En tout état de cause, même à considérer ses liens avec cet homme comme vraisemblables, le fait qu'elle ait été interrogée à son sujet de la manière décrite n'en demeure pas moins invraisemblable (cf. ci-dessus). Enfin, il n'est pas vraisemblable que l'intéressée ait pris le risque, alors qu'elle pensait être recherchée par le gouvernement éthiopien (cf. pv. d'audition du [...] p. 10), de quitter son pays depuis Addis Abeba par voie aéroportuaire, sachant que les aéroports internationaux comptent notoirement parmi les endroits les plus surveillés et contrôlés par les différents services de sécurité. Dans ce contexte, il n'est pas crédible qu'elle ait ignoré l'identité figurant sur les documents de voyage avec lesquels elle aurait rejoint la Suisse, quand bien même elle prétend que ceux-ci seraient restés en mains du passeur. De même, il est douteux qu'elle ait rejoint la Suisse avec des certificats de travail et une carte d'identité professionnelle (avec sa photographie) sur lesquels figurait une identité différente de celle figurant sur ses documents de voyage. Ainsi, les déclarations de la recourante à propos des circonstances de son départ et de son voyage frappent elles aussi par leur caractère stéréotypé, ce qui, ajouté au reste, autorise à penser qu'elle cache les réelles circonstances de sa venue en Suisse.</w:t>
      </w:r>
    </w:p>
    <w:p>
      <w:r>
        <w:rPr>
          <w:b/>
        </w:rPr>
        <w:t>E. 3.2</w:t>
      </w:r>
    </w:p>
    <w:p>
      <w:r>
        <w:t>En procédure de recours, l'intéressée a déclaré avoir été violée lors de ses détentions et produit le certificat médical du 12 décembre 2002 pour étayer la réalité de ces motifs d'asile. La valeur probante de ce certificat ne saurait cependant être admise sous l'angle des préjudices allégués. En effet, certes, selon ce certificat, les maux allégués en relation avec le viol sont des douleurs constantes, l'absence de règles et le mépris des hommes. Toutefois, il ressort également de ce certificat, sans autre explication, qu'à la dernière consultation l'intéressée a relevé « des problèmes gynécologiques qui lui causent de fortes douleurs pendant les règles ». De plus, des symptômes physiques comme des maux de tête et de ventre y sont imputés également à la séparation de la patiente d'avec sa fille. Par ailleurs, selon le médecin, « bien que [la] patiente ne mentionne pas de symptômes tels que reviviscences envahissantes, [la trace d'un probable état de stress post-traumatique, actuellement bien contenu, peut être vue] à travers l'évitement de stimuli rappelant le traumatisme (par ex. ne supporte pas la vue des hommes) ». Toutefois, ce probable état de stress post-traumatique n'a pas été porté au diagnostic. Le Tribunal en conclut que le seul critère mis en évidence en lien direct avec les tortures alléguées consiste en l'évitement de stimuli les rappelant déduit du mépris pour les hommes mais que le diagnostic y relatif d'état de stress post-traumatique n'a pas été retenu. Pour le reste, le certificat est principalement axé sur la séparation de la recourante d'avec sa fille restée au pays et non sur le viol. D'ailleurs, par courrier du 19 novembre 2007, la recourante a annoncé au Tribunal avoir interrompu son suivi psychologique « notamment après avoir pu reprendre contact avec sa fille restée au pays ». Dans ces conditions, le seul critère précité et l'hypothèse émise par le médecin, selon laquelle les « préoccupations de l'intéressée concernant la séparation d'avec sa fille et son rôle parental défaillant [...] fonctionnent aussi comme moyen d'éviter d'aborder psychiquement la question du viol et des violences subies », ne permettent pas de convaincre que ces atteintes se sont vraisemblablement passées dans les circonstances décrites par l'intéressée. Au demeurant, ce certificat ne comporte aucune précision par rapport au récit relaté lors des auditions sur les circonstances et les motifs entourant le viol et les violences subies. Partant, au vu de ce qui précède et de l'ensemble du dossier, la recourante n'est pas parvenu à convaincre que le traumatisme vécu l'a été vraisemblablement pour les motifs et dans les circonstances décrites.</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la recourante n'a pas rendu vraisemblable qu'en cas de retour dans son pays d'origine, elle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6.5</w:t>
      </w:r>
    </w:p>
    <w:p>
      <w:r>
        <w:t>En l'occurrence, les motifs d'asile invoqués par la recourante ayant été considérés comme invraisemblables, celle-ci n'a pas démontré à satisfaction qu'il existe pour elle un véritable risque concret et sérieux, au-delà de tout doute raisonnable, d'être victime de tortures, ou de traitements inhumains ou dégradants en cas de renvoi en Ethiopie.</w:t>
      </w:r>
    </w:p>
    <w:p>
      <w:r>
        <w:rPr>
          <w:b/>
        </w:rPr>
        <w:t>E. 6.6</w:t>
      </w:r>
    </w:p>
    <w:p>
      <w:r>
        <w:t>Dès lors, l'exécution du renvoi de la recourante sous forme de refoulement ne transgresse aucun engagement de la Suisse relevant du droit international, de sorte qu'elle s'avère licite.</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JICRA 1998 n° 22 p. 191).</w:t>
      </w:r>
    </w:p>
    <w:p>
      <w:r>
        <w:rPr>
          <w:b/>
        </w:rPr>
        <w:t>E. 7.2</w:t>
      </w:r>
    </w:p>
    <w:p>
      <w:r>
        <w:t>Il est notoire que l'Ethiopie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7.3</w:t>
      </w:r>
    </w:p>
    <w:p>
      <w:r>
        <w:t>Pour ce qui a trait à la situation personnelle de la recourante, celle-ci a argué uniquement de son état de santé nécessitant un suivi psychologique auprès de G._______ à H._______ pour conclure à son admission provisoire. Force est toutefois de constater que son état de santé ne nécessite plus de suivi psychologique, puisqu'elle a mis un terme à celui-ci le (...). Ainsi, il n'y a pas de motifs d'ordre médical pouvant s'opposer à l'exécution de son renvoi de Suisse. Pour le reste, aucun obstacle à l'exécution de son renvoi ne ressort d'un examen d'office du dossier. En effet, la recourante est au bénéfice d'une bonne expérience professionnelle qu'elle pourra faire valoir. Elle doit disposer dans son pays d'origine d'un réseau social important pour y avoir vécu pendant (...), ce qui est de nature à faciliter sa réintégration. De plus, elle y retrouvera sa fille, (...). Dans ces conditions, il n'est pas déraisonnable d'exiger d'elle qu'elle retourne dans son pays d'origine.</w:t>
      </w:r>
    </w:p>
    <w:p>
      <w:r>
        <w:rPr>
          <w:b/>
        </w:rPr>
        <w:t>E. 7.4</w:t>
      </w:r>
    </w:p>
    <w:p>
      <w:r>
        <w:t>Pour ces motifs, l'exécution du renvoi doit être considérée comme raisonnablement exigible.</w:t>
      </w:r>
    </w:p>
    <w:p>
      <w:r>
        <w:rPr>
          <w:b/>
        </w:rPr>
        <w:t>E. 8.1</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8.2</w:t>
      </w:r>
    </w:p>
    <w:p>
      <w:r>
        <w:t>S'il survenait, après le prononcé de la décision finale ou après l'entrée en force de la décision de première instance, une impossibilité effective d'exécution du renvoi, en raison d'un obstacle insurmontable d'ordre technique, il s'agirait là d'une pure constatation de fait qui ressortirait aux autorités cantonales, auxquelles il appartiendrait alors de demander à l'ODM d'ordonner l'admission provisoire (cf. art. 46 al. 2 LAsi).</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de la recourante, conformément aux art. 63 al. 1 PA et 2 et 3 let. b du règlement du 11 décembre 2006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