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E-707/2020 vom 24. März 2025</w:t>
      </w:r>
    </w:p>
    <w:p>
      <w:r>
        <w:t>Bundesverwaltungsgericht, 2025-03-24, DE</w:t>
      </w:r>
    </w:p>
    <w:p>
      <w:r>
        <w:rPr>
          <w:b/>
        </w:rPr>
        <w:t xml:space="preserve">Quelle: </w:t>
      </w:r>
      <w:r>
        <w:t>https://mcp.opencaselaw.ch/entscheid/bvger_E-707_2020</w:t>
      </w:r>
    </w:p>
    <w:p>
      <w:r>
        <w:t>FR: TAF E-707/2020 du 24 mars 2025</w:t>
      </w:r>
    </w:p>
    <w:p>
      <w:r>
        <w:t>IT: TAF E-707/2020 del 24 marzo 2025</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105 AsylG [SR 142.31]; Art. 83 Bst. d Ziff. 1 BGG).</w:t>
      </w:r>
    </w:p>
    <w:p>
      <w:r>
        <w:rPr>
          <w:b/>
        </w:rPr>
        <w:t>E. 1.2</w:t>
      </w:r>
    </w:p>
    <w:p>
      <w:r>
        <w:t>Das Verfahren richtet sich nach dem VwVG, dem VGG und dem BGG, soweit das AsylG nichts anderes bestimmt (Art. 37 VGG und Art. 6 AsylG). Hinsichtlich des AsylG gilt das alte Recht (vgl. Abs. 1 der Übergangsbe- stimmungen zur Änderung des AsylG vom 25. September 2015).</w:t>
      </w:r>
    </w:p>
    <w:p>
      <w:r>
        <w:t>E-707/2020 Seite 7</w:t>
      </w:r>
    </w:p>
    <w:p>
      <w:r>
        <w:rPr>
          <w:b/>
        </w:rPr>
        <w:t>E. 1.3</w:t>
      </w:r>
    </w:p>
    <w:p>
      <w:r>
        <w:t>Die Beschwerde ist frist- und formgerecht eingereicht worden. Der Be- schwerdeführer ist zur Einreichung der Beschwerde legitimiert (Art. 105 und aArt. 108 Abs. 1 AsylG; Art. 48 Abs. 1 sowie Art. 52 Abs. 1 VwVG). Auf die Beschwerde ist einzutreten.</w:t>
      </w:r>
    </w:p>
    <w:p>
      <w:r>
        <w:rPr>
          <w:b/>
        </w:rPr>
        <w:t>E. 2</w:t>
      </w:r>
    </w:p>
    <w:p>
      <w:r>
        <w:t>Aufgrund der persönlichen und sachlichen Nähe wird das vorliegende Ver- fahren mit dem Beschwerdeverfahren des Bruders A. (E-2979/2020) inso- fern koordiniert, als die Urteile vom gleichen Spruchkörper entschieden werden und mit gleichem Datum ergehen.</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 die angefochtene Verfügung im Wesentlichen da- mit, dass die Vorbringen des Beschwerdeführers nicht glaubhaft seien. Er habe sich hinsichtlich des Motivs für die Demonstration widersprochen, als er an der BzP vermisste Personen als Grund hingegen an der Anhörung Menschenrechtsverletzungen, die Vergewaltigung und Ermordung einer</w:t>
      </w:r>
    </w:p>
    <w:p>
      <w:r>
        <w:t>E-707/2020 Seite 8 Studentin sowie die Schwertkultur in Jaffna genannt habe. Auch habe er an der BzP angegeben, führender Organisator gewesen zu sein, an der Anhörung jedoch, dass die Planung durch den Schuldirektor und die Lehrer erfolgt sei. Seine Schilderung der Demonstration und ihrer Vorbereitung sei trotz mehrmaliger Nachfragen substanzarm ausgefallen. Ein weiterer Wi- derspruch bestehe mit Blick auf die Personen, welche ihn aufgesucht hät- ten. Während es an der BzP das Militär und die Polizei gewesen seien, habe er an der Anhörung unbekannte vermummte Personen genannt, al- lenfalls habe er paramilitärische Gruppen oder Mitglieder der Aava-Gruppe verdächtigt. Weiter habe er an der BzP ausgeführt, die Soldaten hätten ihn und seinen Bruder verletzt, wohingegen er an der Anhörung angegeben habe, die unbekannten vermummten Personen hätten seine Eltern, den Onkel, ihn und den Bruder verletzt. Die vom Beschwerdeführer eingereich- ten Schreiben eines Parlamentariers S. und des Northern Province Council gäben einen völlig abweichenden Sachverhalt wieder, zumal darin ausge- führt werde, er sei von der Polizei inhaftiert und nach seiner Freilassung täglich vom CID zu Hause aufgesucht worden. Schliesslich führt das SEM aus, es seien keine Risikofaktoren ersichtlich, aufgrund welcher der Beschwerdeführer bei einer Rückkehr nach Sri Lanka mit einer flüchtlingsrechtlich relevanten Verfolgung zu rechnen habe. Viel- mehr habe er bis (…) 2015 in Sri Lanka gelebt und damit noch (…) Jahre lang nach dem Krieg.</w:t>
      </w:r>
    </w:p>
    <w:p>
      <w:r>
        <w:rPr>
          <w:b/>
        </w:rPr>
        <w:t>E. 5.2</w:t>
      </w:r>
    </w:p>
    <w:p>
      <w:r>
        <w:t>In seiner Beschwerde macht der Beschwerdeführer den Sachverhalt betreffend erstmals geltend, dass anlässlich der Demonstration ein Militär- angehöriger auf ihn zugekommen sei, ihn aufgefordert habe, keine De- monstrationen mehr zu veranstalten und ihm gesagt habe, er werde über- wacht. Sodann moniert er, entgegen der Würdigung in der angefochtenen Verfügung seien seine Vorbringen glaubhaft. Abgesehen davon, dass er sich an der Anhörung in einer Stresssituation befunden habe, habe er sich hinsichtlich des Anlasses der Demonstration nicht widersprochen, sondern einmal habe er einfach den Oberbegriff «Menschenrechtsverletzungen» verwendet und dann weitere Beispiele für solche aufgezählt. Weiter sei er in seiner Beschreibung an der Anhörung, wer die Organisatoren gewesen seien, implizit mitenthalten gewesen, da sein Vater eine wichtige Person des beteiligten Lesezirkels gewesen sei, weshalb auch er habe mithelfen können. Aufgrund der inzwischen verstrichenen Zeit könne er sich zwar weder daran erinnern, wie sie die Organisation zwischen den Personen aufgeteilt hätten noch an den Wortlaut der Slogans, allerdings habe er seine Rolle sowie die Marschroute detailliert schildern können. Mit Blick auf</w:t>
      </w:r>
    </w:p>
    <w:p>
      <w:r>
        <w:t>E-707/2020 Seite 9 die Täter sei festzuhalten, dass die paramilitärischen Gruppierungen mit den sri-lankischen Behörden zusammenarbeiteten und im Volksmund die Begriffe synonym verwendet würden. Bereits an der BzP habe er gesagt, es seien Soldaten gewesen, wobei auch Mitglieder paramilitärischer Grup- pierungen bewaffnet seien und somit ebenfalls unter diesen Begriff fielen. Die Aussage, er habe Probleme mit dem Militär und der Polizei gehabt, habe sich auf die Demonstration bezogen, die vom Militär verboten worden sei, und wo ihn ein Militärangehöriger bedroht habe. Weiter habe er an der BzP – naturgemäss – nur zusammengefasst wiedergegeben, wer beim An- griff vom (…) 2015 angegriffen worden sei, und ausserdem seien nach dem Wortlaut seiner Aussage die weiteren Familienmitglieder mitumfasst gewe- sen. Hinsichtlich der eingereichten Schreiben verwies er auf seine Erklä- rungen zu den angeblichen Unterschieden zwischen Militär und paramili- tärischen Gruppen.</w:t>
      </w:r>
    </w:p>
    <w:p>
      <w:r>
        <w:rPr>
          <w:b/>
        </w:rPr>
        <w:t>E. 6.1</w:t>
      </w:r>
    </w:p>
    <w:p>
      <w:r>
        <w:t>Gemäss langjähriger Praxis sind Widersprüche in den Aussagen einer Person während der BzP einerseits und der Anhörung andererseits deren Glaubhaftigkeit dann abträglich, wenn sie wesentliche Punkte der Asylbe- gründung betreffen; gravierend sind insbesondere abweichende Darstel- lungen bezüglich des Zeitpunktes, des Umfangs und der Ursache der gel- tend gemachten Verfolgung, mithin solche, die der Beurteilung der Flücht- lingseigenschaft dienen. Keine entscheidrelevante Bedeutung haben in der Befragung gemachte Angaben dann, wenn sie sich im Vergleich zu späte- ren Vorbringen als blosse Unvollständigkeiten und unwesentliche Abwei- chungen erweisen (vgl. statt vieler dazu auch Urteil des Bundesverwal- tungsgerichts [BVGer] D-6569/2019 vom 15. Juli 2022 E. 5.4; Entschei- dungen und Mitteilungen der (vormaligen) schweizerischen Asylrekurs- kommission [EMARK] 1993 Nr. 3). Das Gericht gelangt zum Schluss, dass das SEM dem Vorbringen des Be- schwerdeführers zu Recht und mit der zutreffenden Begründung die Glaub- haftigkeit abgesprochen hat. Nichts daran ändert sein Einwand, er habe sich während der Anhörung in einer Stresssituation befunden. Denn aus dem Anhörungsprotokoll geht nichts hervor, was auf eine eingeschränkte Einvernahmefähigkeit hindeuten würde oder darauf, dass sich der Be- schwerdeführer nicht hätte umfassend äussern können. Ebenso wenig hat die zu Beobachtung eines korrekten Verfahrens anwesende Hilfswerkver- tretung Einwände erhoben. Schliesslich hat der Beschwerdeführer mit sei- ner Unterschrift bestätigt, dass ihm das Protokoll Satz für Satz vorgelesen und in eine ihm verständliche Sprache übersetzt worden sei, sowie dass</w:t>
      </w:r>
    </w:p>
    <w:p>
      <w:r>
        <w:t>E-707/2020 Seite 10 es vollständig sei und seinen freien Äusserungen entspreche. Folglich muss er sich auf seine dortigen Aussagen behaften lassen.</w:t>
      </w:r>
    </w:p>
    <w:p>
      <w:r>
        <w:rPr>
          <w:b/>
        </w:rPr>
        <w:t>E. 6.2</w:t>
      </w:r>
    </w:p>
    <w:p>
      <w:r>
        <w:t>Soweit der Beschwerdeführer eine Gefährdung in Zusammenhang mit seiner Teilnahme an einer Demonstration setzen will, ist vorauszuschicken ist, dass er zu Beginn der Anhörung von Teilnahmen an mehreren De- monstrationen sprach (Akten SEM A23 F26, F30) und anschliessend eine mehrmalige Teilnahme ausdrücklich verneinte (ebd. F50), womit er sich nicht nur zwischen der BzP und der Anhörung, sondern auch innerhalb der Anhörung selbst diametral widersprochen hat. Auch sonst ist die Einschät- zung des SEM zu bestätigen. So nannte der Beschwerdeführer als Beweg- grund für die Demonstration vom (…) 2015 an der Anhörung zu allererst die Ermordung und Vergewaltigung einer Studentin namens H._______, um dann zu ergänzen, dass diese Demonstration auch gegen Mitglieder der Aava-Gruppe gerichtet gewesen sei (ebd. F34 f.); später nannte er noch die Schwertkultur in Jaffna (ebd. F48). Konfrontiert mit den unter- schiedlichen Angaben im Vergleich zu jener an der BzP, wo er als einzigen Grund für die (einzige) Demonstration vom (…) 2015 die vermissten Per- sonen genannt hatte, bestätigte er, die Demonstration hauptsächlich we- gen H._______ veranlasst zu haben sowie auch aufgrund von Menschen- rechtsverletzungen, wie das Verschwindenlassen von Personen und Räu- bereien in Jaffna (ebd. F66). Abgesehen davon, dass nicht einleuchtet, weshalb der Beschwerdeführer an der BzP von sich aus ebenso klar die Teilnahme an nur eine Demonstration, wie auch nur einen konkreten Inhalt dieser Demonstration nennen sollte, um dann an der Anhörung wiederum nur einen Oberbegriff zu verwenden, hat er – anders als behauptet – auch an der Anhörung von Beginn an die konkreten Arten der Menschenrechts- verletzungen genannt. Letztere unterscheiden sich allerdings beträchtlich vom an der BzP angegebenen einzigen Motiv der verschwundenen Perso- nen. Vorausgesetzt, die Demonstration hätte solch heterogene Gründe ge- habt, erstaunt wiederum, dass er an der BzP gerade nur einen einzigen dieser Gründe genannt hätte. Dies umso mehr, als er die Demonstration als Ursprung seiner Probleme (ebd. F30) und sich selbst als führenden Or- ganisator bezeichnet hat (Akten SEM A6 Ziff. 7.03). Auch in diesem Zu- sammenhang ist dem SEM beizupflichten, dass sich der Beschwerdeführer widersprochen hat, zumal er an der Anhörung einmal ausdrücklich ver- neinte, etwas anderes mit der Demonstration zu tun gehabt zu haben als vorne gestanden und Parolen skandiert zu haben (ebd. F33). Sein Einwand in der Beschwerde überzeugt keineswegs, im Gegenteil, er widerspricht letzterer Aussage gerade erneut, wenn er ausführt, sie hätten die Organi- sation der Demonstration unter verschiedenen Personen aufgeteilt, hätten</w:t>
      </w:r>
    </w:p>
    <w:p>
      <w:r>
        <w:t>E-707/2020 Seite 11 Slogans entworfen, Flyer verteilt und die Leute mobilisiert (vgl. Be- schwerde, Ziff. 4, S. 3; Ziff. 15 in fine, S. 6). Auch ist es dem Beschwerde- führer nicht gelungen, plausibel zu erklären, weshalb man gerade ihn, der schon einige Jahre zuvor die besagte Schule verlassen hat, einzig auf- grund seiner Verbindung zum Lesezirkel zu einer der drei Hauptpersonen erkoren habe. Nicht nur kann er seine Teilnahme an einer Demonstration – respektive überhaupt seine Asylgründe – mit den Schreiben des Parla- mentariers vom 30. April 2016 und des Northern Provincial Councils vom 30. Mai 2016 nicht glaubhaft machen, sondern diese Schreiben untergra- ben seine persönliche Glaubwürdigkeit noch gänzlich, wird darin doch ab- weichend vom Vorgebrachten behauptet, der Beschwerdeführer sei von der Polizei verhaftet und inhaftiert sowie vom CID befragt worden. Sein diesbezüglicher Einwand in der Beschwerde, in der Regel würden solche Schreiben als Gefälligkeitsschreiben ohne Beweischarakter qualifiziert, be- wirkt offenkundig nichts und er verkennt mit dem Hinweis auf die synonyme Verwendung von «CID», «Militär» und unterschiedlichen Gruppierungen, dass unabhängig davon auch der übrige Inhalt (Festnahme, tägliche Auf- suchung zu Hause usw.) nicht vereinbar ist mit seinen Angaben.</w:t>
      </w:r>
    </w:p>
    <w:p>
      <w:r>
        <w:rPr>
          <w:b/>
        </w:rPr>
        <w:t>E. 6.3</w:t>
      </w:r>
    </w:p>
    <w:p>
      <w:r>
        <w:t>Wie bereits festgestellt, ist die persönliche Glaubwürdigkeit des Be- schwerdeführers beeinträchtigt, nachdem er sich zum Kernvorbringen der Demonstrationsteilnahme nicht nur erheblich widersprochen, sondern zu- dem Beweismittel eingereicht hat, die sich nicht ansatzweise mit seinen Vorbringen vereinbaren lassen. Was den Vorfall vom (…) 2015 betrifft, ist dem Beschwerdeführer einzig darin zuzustimmen, dass ihm nicht ohne weiteres entgegengehalten werden kann, er habe an der BzP nicht alle verletzten Familienmitglieder aufgezählt, kann es sich dabei doch um eine blosse Unvollständigkeit handeln. Indessen erscheint tatsächlich nicht nachvollziehbar, dass er an der BzP die Täter des Vorfalls von sich aus klar benannte, an der Anhörung deren Identität indessen nicht mehr wissen wollte. Es gelingt ihm jedenfalls auch mit seinen Vorbringen zu diesem Er- eignis nicht, glaubhaft zu darzutun, dass die sri-lankischen Behörden ein flüchtlingsrechtlich relevantes Interesse an ihm hätten, zumal er an der An- hörung nur noch Vermutungen zu den Tätern anstellt. Nicht zuletzt wird diese Einschätzung auch durch seine problemlose legale Ausreise bestä- tigt (Akten SEM A23 F76, F79 f.). Soweit der Beschwerdeführer hinter den Angreifern die Aava-Gruppe vermutet, mit deren Mitglied (…) er einmal eine Auseinandersetzung gehabt habe, ist festzuhalten, dass das Bundes- verwaltungsgericht in seiner Rechtsprechung davon ausgeht, dass diese Gruppierung in erster Linie aus rein kriminellen Motiven heraus handelt und der sri-lankische Staat in Bezug auf sie (auch bei Übergriffen auf tamilische</w:t>
      </w:r>
    </w:p>
    <w:p>
      <w:r>
        <w:t>E-707/2020 Seite 12 Personen) schutzfähig und -willig ist (vgl. etwa die Urteile des BVGer D- 1530/2020 vom 16. August 2023 E. 5.2.1; E-5142/2019 vom 3. Mai 2022 E. 6.1 und E-4915/2020 vom 14. Januar 2021 E. 6.6, je m.w.H.). Es erge- ben sich keine Hinweise darauf, dass die sri-lankischen Behörden im vor- liegenden Fall nicht schutzfähig oder schutzwillig gewesen wären respek- tive dies nicht auch in Zukunft sein würden. Der Beschwerdeführer selbst hatte angegeben, die Polizei habe nichts machen können, weil sie die Täter als unbekannt angegeben hätten (Akten SEM A23 F54). Sodann geht aus dem eigereichten Schreiben der Security Force Jaffna vom (…) 2016 her- vor, dass Schutz geboten worden sei. Damit ist den von der bundesverwal- tungsrechtlichen Rechtsprechung aufgestellten Kriterien an den Umfang des massgeblichen Schutzes Genüge getan (vgl. BVGE 2011/51 E. 7.3 f.).</w:t>
      </w:r>
    </w:p>
    <w:p>
      <w:r>
        <w:rPr>
          <w:b/>
        </w:rPr>
        <w:t>E. 6.4</w:t>
      </w:r>
    </w:p>
    <w:p>
      <w:r>
        <w:t>Der Beschwerdeführer brachte an der Anhörung schliesslich vor, nach seiner Ausreise seien weitere Vorfälle geschehen. Im (…) 2015 sei sein Bruder B. geschlagen, entführt und erheblich verletzt worden. Nachdem das Bundesverwaltungsgericht mit seinem ebenfalls am heutigen Tag er- gehenden Urteil betreffend B. dessen Vorbringen im Zusammenhang mit den geltend gemachten Vorfällen im (…) 2015 als unglaubhaft befindet (vgl. E-2979/2020), erübrigt es sich, vorliegend weiter darauf einzugehen. Auch die übrigen Ereignisse betreffend seine Familienmitglieder, die der Beschwerdeführer für die Zeit nach seiner Ausreise geltend macht – im (…) 2015 sowie im (…) oder (…) 2022 betreffend den Bruder C., im (…) 2017 betreffend seinen Vater und in M._______ betreffend den Bruder A. – ver- mögen vor dem Hintergrund des Gesagten nichts zu seinen Gunsten zu bewirken. Soweit daraus abgeleitet wird, Mitglieder der Aava-Gruppe such- ten den Beschwerdeführer, kann unabhängig von der Frage der Glaubhaf- tigkeit auf das unter Erwägung 6.3 zur Schutzfähigkeit und -willigkeit der sri-lankischen Behörden Ausgeführte verwiesen werden. Was die mit den Eingaben vom 5. Mai 2020, 12. November 2020, 10. Februar 2023 geltend gemachten Besuche des CID betrifft, anlässlich deren Familienmitglieder verletzt worden seien, handelt es sich um nicht belegte Behauptungen, die nicht geeignet sind, eine Suche nach dem Beschwerdeführer aus flücht- lingsrechtlich relevanten Gründen doch noch glaubhaft zu machen, ganz abgesehen davon, dass die eingereichten Fotografien von Verletzungen nicht geeignet sind, deren Ursache respektive die dahinterstehende Täter- schaft zu beweisen. Schliesslich ist auch nicht ersichtlich, inwiefern der Be- schwerdeführer aus dem geltend gemachten Tod des Cousins etwas zu seinen Gunsten abzuleiten vermöchte.</w:t>
      </w:r>
    </w:p>
    <w:p>
      <w:r>
        <w:t>E-707/2020 Seite 13</w:t>
      </w:r>
    </w:p>
    <w:p>
      <w:r>
        <w:rPr>
          <w:b/>
        </w:rPr>
        <w:t>E. 6.5</w:t>
      </w:r>
    </w:p>
    <w:p>
      <w:r>
        <w:t>Es bleibt zu prüfen, ob der Beschwerdeführer unter dem Aspekt der vom Bundesverwaltungsgericht im Referenzurteil E-1866/2015 vom 15. Juli 2016 definierten Risikofaktoren bei einer heutigen Rückkehr nach Sri Lanka mit beachtlicher Wahrscheinlichkeit ernsthafte Nachteile gemäss Art. 3 AsylG zu befürchten hat.</w:t>
      </w:r>
    </w:p>
    <w:p>
      <w:r>
        <w:rPr>
          <w:b/>
        </w:rPr>
        <w:t>E. 6.5.1</w:t>
      </w:r>
    </w:p>
    <w:p>
      <w:r>
        <w:t>Im genannten Referenzurteil hat das Bundesverwaltungsgericht fest- gestellt, dass Angehörige der tamilischen Ethnie bei einer Rückkehr nach Sri Lanka nicht generell einer ernstzunehmenden Gefahr von Verhaftung und Folter ausgesetzt sind (vgl. ebd. E. 8.3). Eine tatsächliche oder ver- meintliche, aktuelle oder vergangene Verbindung zu den Liberation Tigers of Tamil Eelam (LTTE), ein Eintrag in der "Stop List" und die Teilnahme an exilpolitischen regimekritischen Handlungen wurden demgegenüber als stark risikobegründende Faktoren eingestuft, da sie unter den im Entscheid dargelegten Umständen bereits für sich alleine genommen zur Bejahung einer begründeten Furcht führen könnten. Demgegenüber stellen das Feh- len ordentlicher Identitätsdokumente bei der Einreise in Sri Lanka, gut sichtbare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 der aufleben zu lassen und so den sri-lankischen Einheitsstaat gefährde. Mit Blick auf die dargelegten Risikofaktoren seien in erster Linie jene Rück- kehrer gefährdet, deren Namen in der am Flughafen in Colombo abrufba- ren "Stop List" vermerkt seien und der Eintrag den Hinweis auf eine Ver- haftung beziehungsweise einen Strafregistereintrag im Zusammenhang mit einer tatsächlichen oder vermuteten Verbindung zu den LTTE enthalte. Entsprechendes gelte für sri-lankische Staatsangehörige, die sich im Aus- land regimekritisch betätigt hätten (vgl. ebd. E. 8). An dieser Einschätzung allfälliger Risikofaktoren vermag auch die Lage- veränderung in Sri Lanka seit Erlass der angefochtenen Verfügung nichts zu ändern. In Bezug auf eine allgemeine Gefährdungslage für nach Sri Lanka zurückkehrende tamilische Asylsuchende ist festzuhalten, dass der am 16. November 2019 als Präsident gewählte Gotabaya Rajapaksa und zum Premierminister ernannte Mahinda Rajapaksa inzwischen nicht mehr an der Macht sind. Am 20. Juli 2022 wählte das Parlament Ranil Wickre- mesinghe zum (Übergangs-)Präsidenten. Das Bundesverwaltungsgericht ging davon aus, dass sich unter Wickremesinghe die Verhältnisse nicht</w:t>
      </w:r>
    </w:p>
    <w:p>
      <w:r>
        <w:t>E-707/2020 Seite 14 wesentlich verändert haben. Zwischenzeitlich fand im September 2024 er- neut eine Präsidentschaftswahl statt, aus welcher Anura Kumara Dissanayake als Sieger hervorging. Bei der Parlamentswahl vom 14. No- vember 2024 hat dessen linkes Parteienbündnis National People’s Power (NPP) nicht nur eine Zweidrittelmehrheit errungen, sondern war auch in allen Teilen des Landes erfolgreich, so auch im Norden und Osten der In- sel, insbesondere auch im Norden und Osten der Insel (vgl. NZZ vom 15. November 2024: «Sri Lanka straft seine Eliten ab, Präsident Dissanayake erringt einen Erdrutschsieg bei den Parlamentswahlen», Sri Lanka: Präsident Dissanayake sichert sich breite Mehrheit im Parlament; abgerufen am 15. November 2024). Wie sich diese Entwicklungen auf die politische und allgemeine Lage in Sri Lanka auswirken wird, ist noch nicht vorhersehbar. Derzeit ist aber jedenfalls nicht davon auszugehen, die all- gemeine Situation für Rückkehrende tamilischer Ethnie habe sich dadurch verschärft (vgl. u.a. Urteil des BVGer D-3540/2019 vom 19. Dezember 2024 E. 10.2).</w:t>
      </w:r>
    </w:p>
    <w:p>
      <w:r>
        <w:rPr>
          <w:b/>
        </w:rPr>
        <w:t>E. 6.5.2</w:t>
      </w:r>
    </w:p>
    <w:p>
      <w:r>
        <w:t>Eine relevante Gefährdung des Beschwerdeführers – bei welchem sich aus den Akten keine Hinweise darauf ergeben, dass er nur annähernd in die Nähe der LTTE gerückt werden könnte – ist unter dem Aspekt dieser sogenannten Risikofaktoren zu verneinen. Wie oben dargelegt, ist nicht davon auszugehen, dass der Beschwerdeführer im Zeitpunkt seiner Aus- reise einer flüchtlingsrechtlich relevanten Verfolgung ausgesetzt war. Allein der Umstand, dass er sich seit mehr als (…) Jahren im Ausland aufhält und keine Reisepapiere besitzt, vermag keine flüchtlingsrechtlich relevante Ge- fährdung zu begründen. Nachdem die Beschwerde betreffend den Bruder B. mit heutigem Datum ebenfalls abgewiesen und festgestellt wird, dieser erfülle die Flüchtlingseigenschaft nicht, ist auch nicht ersichtlich, inwiefern der Beschwerdeführer wegen ihm in einen relevanten Fokus der heimatli- chen Behörden geraten könnte.</w:t>
      </w:r>
    </w:p>
    <w:p>
      <w:r>
        <w:rPr>
          <w:b/>
        </w:rPr>
        <w:t>E. 6.6</w:t>
      </w:r>
    </w:p>
    <w:p>
      <w:r>
        <w:t>Zusammenfassend hat der Beschwerdeführer die Flüchtlingseigen- schaft im Sinne von Art. 3 AsylG weder nachgewiesen noch zumindest glaubhaft gemacht. Die Vorinstanz hat sein Asylgesuch demnach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E-707/2020 Seite 15</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FK). Gemäss Art. 25 Abs. 3 BV, Art. 3 des Überein- 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8.2.1</w:t>
      </w:r>
    </w:p>
    <w:p>
      <w:r>
        <w:t>Da es dem Beschwerdeführer nicht gelungen ist, eine flüchtlings- rechtlich erhebliche Gefährdung nachzuweisen oder glaubhaft zu machen, findet der in Art. 5 AsylG verankerte Grundsatz der Nichtrückschiebung keine Anwendung und die Rückkehr des Beschwerdeführers in den Hei- matstaat erweist sich unter dem Aspekt des flüchtlingsrechtlichen Non Re- foulement-Gebots als rechtmässig. Weder aus den Vorbringen des Beschwerdeführers noch aus den Akten ergeben sich sodann konkrete und hinreichend gewichtige Anhaltspunkte</w:t>
      </w:r>
    </w:p>
    <w:p>
      <w:r>
        <w:t>E-707/2020 Seite 16 dafür, dass er für den Fall einer Ausschaffung in den Heimatstaat dort mit beachtlicher Wahrscheinlichkeit einer nach Art. 3 EMRK oder Art. 1 FoK verbotenen Strafe oder Behandlung ausgesetzt wäre. Allein aufgrund eines allfälligen sogenannten «Backgroundchecks» (Befragung und Überprü- fung von Tätigkeiten im In- und Ausland) durch die sri-lankischen Behörden ist eine ernsthafte und konkrete Gefahr im Sinne der massgeblichen Recht- sprechung zu Art. 3 EMRK nicht gegeben (vgl. Urteil des Europäischen Ge- richtshofes für Menschenrechte [EGMR] i.S. Saadi gegen Italien vom 28. Februar 2008 [Grosse Kammer], Beschwerde Nr. 37201/06, Ziff. 124 ff. m.w.H.). Hinsichtlich der geltend gemachten Bedrohung seitens unbekann- ter Gruppierungen oder der Aava-Gruppe ist ebenfalls festzustellen, dass es dem Beschwerdeführer nicht gelingt, eine ernsthafte, konkrete Gefahr darzutun sowie, dass er sich gegebenenfalls an die sri-lankischen Behör- den zu wenden hätte, wo er um Schutz nachsuchen kann. Schliesslich ergibt sich auch aus der aktuellen allgemeinen menschenrechtlichen Lage in Sri Lanka keine konkrete Gefahr im Sinne von Art. 3 EMRK, die dem Vollzug der Wegweisung entgegenstehen könnte.</w:t>
      </w:r>
    </w:p>
    <w:p>
      <w:r>
        <w:rPr>
          <w:b/>
        </w:rPr>
        <w:t>E. 8.2.2</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Sri Lanka herrscht heute weder Bürgerkrieg noch eine Situation allgemeiner Gewalt. Der Beschwerdeführerin stammt aus der Nordprovinz von Sri Lanka, wohin der Wegweisungsvollzug zumutbar ist, wenn das Vor- liegen individueller Zumutbarkeitskriterien bejaht werden kann (vgl. Refe- renzurteil E-1866/2015 E. 13.3; bestätigt u.a. im Urteil D-4210/2020 vom 16. November 2023 E. 9.3.1). Diese Einschätzung hat auch unter Berück- sichtigung der weiterhin in weiten Teilen Sri Lankas herrschenden ange- spannten wirtschaftlichen Lage sowie der politisch und sozial schwierigen Situation weiterhin Gültigkeit (Referenzurteil des BVGer E-737/2020 vom 27. Februar 2023 E. 10.2.5.1).</w:t>
      </w:r>
    </w:p>
    <w:p>
      <w:r>
        <w:t>E-707/2020 Seite 17</w:t>
      </w:r>
    </w:p>
    <w:p>
      <w:r>
        <w:rPr>
          <w:b/>
        </w:rPr>
        <w:t>E. 8.3.3</w:t>
      </w:r>
    </w:p>
    <w:p>
      <w:r>
        <w:t>Die Vorinstanz begründet die Zumutbarkeit des Wegweisungsvoll- zugs damit, dass es sich beim Beschwerdeführer um einen jungen Mann mit guter Schulbildung und Berufserfahrung handle. In seiner Heimat leb- ten seine Eltern und ein Bruder, die ihn bei einer Rückkehr aufnehmen und unterstützen könnten. Anfänglich könnten ihm auch seine im Ausland le- benden Geschwister finanzielle Unterstützung bieten. Sodann ergebe sich aus dem Arztbericht vom 11. Juli 2019, dass seine (…) abgeschlossen sei.</w:t>
      </w:r>
    </w:p>
    <w:p>
      <w:r>
        <w:rPr>
          <w:b/>
        </w:rPr>
        <w:t>E. 8.3.4</w:t>
      </w:r>
    </w:p>
    <w:p>
      <w:r>
        <w:t>Dagegen wendet der Beschwerdeführer ein, seine Familie müsse ständig den Wohnort wechseln. Ausserdem befänden sich seine Ge- schwister in einem laufenden Asylverfahren beziehungsweise pflege er kei- nen engen Kontakt zu ihnen, sodass er nicht mit ihrer Unterstützung rech- nen könne. Auch da er keine Ausbildung absolviert habe, sei er von Armut bedroht. Schliesslich sei er aufgrund der Vorkommnisse vor seiner Aus- reise psychisch angeschlagen.</w:t>
      </w:r>
    </w:p>
    <w:p>
      <w:r>
        <w:rPr>
          <w:b/>
        </w:rPr>
        <w:t>E. 8.3.5</w:t>
      </w:r>
    </w:p>
    <w:p>
      <w:r>
        <w:t>Gemäss Angaben des Beschwerdeführers anlässlich der Anhörung seien seine Eltern zwar gezwungen, ständig umzuziehen, sie lebten aber nach wie vor in B._______ (A23 F8, F38; Anmerkung Gericht: nahe der Stadt N._______ gelegen). Zwischenzeitlich sei auch sein Bruder C. aus K._______ zurückgekehrt (Eingabe vom 12. November 2020) und halte sich in (…) auf (Eingabe vom 10. Februar 2023). Aus den Eingaben auf Beschwerdestufe ergibt sich, dass der Beschwerdeführer zumindest mit seinen Eltern Kontakt pflegt, sodass von einem sozialen Netz in Sri Lanka ausgegangen werden kann. Auch ist anzunehmen, dass er zumindest an- fänglich in ihrem Haus unterkommen kann. Es ist in diesem Zusammen- hang festzustellen, dass seine Angaben, die Eltern müssten ständig um- ziehen nur sehr pauschal erfolgen und angesichts der als unglaubhaft er- achteten Asylgründe ohnehin Zweifel daran angebracht sind. Sodann ist es dem Beschwerdeführer zuzumuten, sich selbst eine Existenz aufzubauen, hat er doch während zehn Jahren die Schule besucht und war vor der Aus- reise als (…) tätig. In der Schweiz konnte er sodann in der (…) Arbeitser- fahrungen sammeln. Dafür, dass der Beschwerdeführer in massgeblicher Weise psychisch angeschlagen sei, ergeben sich aus den Akten keine Hin- weise. Es ist nicht ersichtlich, dass er auf eine medizinische Behandlung angewiesen wäre. Gegebenenfalls ist darauf hinzuweisen, dass auch psy- chische Erkrankungen in Sri Lanka behandelbar sind, wenn auch die ent- sprechenden Ressourcen aufgrund der wirtschaftlich schwierigen Lage be- schränkt sind (vgl. Urteil des BVGer D-4210/2020, a.a.O., E.9.3.2).</w:t>
      </w:r>
    </w:p>
    <w:p>
      <w:r>
        <w:t>E-707/2020 Seite 18</w:t>
      </w:r>
    </w:p>
    <w:p>
      <w:r>
        <w:rPr>
          <w:b/>
        </w:rPr>
        <w:t>E. 8.3.6</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Grundsätzlich wären die Kosten bei diesem Ausgang des Verfahrens dem Beschwerdeführer aufzuerlegen (Art. 63 Abs. 1 VwVG). Mit Zwischen- verfügung vom 13. Februar 2020 wurde ihm – unter Vorbehalt einer nach- träglichen Veränderung der finanziellen Verhältnisse – die unentgeltliche Prozessführung gewährt. Inzwischen ist er erwerbstätig. In dem am 26. Februar 2025 zu den Akten gereichten Formular stellt er dem monatli- chen Nettoeinkommen von Fr. 3’458.– (inkl. Anteil 13. Monatslohn) Ausla- gen von Fr. 2’313.85 gegenüber. Belegt sind die Kosten für die Miete (Fr. 991.–) und die Krankenkassenprämien (Fr. 314.85). Nicht belegt und auch anhand der Akten nicht nachvollziehbar sind demgegenüber die gel- tend gemachten Unterhaltszahlungen von Fr. 600.–. Diese sind entspre- chend nicht zu berücksichtigen. In Anerkennung der zwar nicht belegten, jedoch plausiblen Kosten für Strom und Gas (Fr. 319.–) sowie für den öf- fentlichen Verkehr (Fr. 89.–) ist von monatlichen Ausgaben des Beschwer- deführers von Fr. 1’713.85 auszugehen. Zur Berechnung der monatlichen Auslagen des alleinstehenden Beschwerdeführers ist ein monatlicher Grundbetrag von Fr. 1’200.– sowie ein Zuschlag von 20%, mithin Fr. 240.– zu veranschlagen. Der monatliche Notbedarf des Beschwerdeführers liegt somit bei Fr. 3’153.85. Dieser ist dem Nettoeinkommen von Fr. 3458.– ge- genüberzustellen. Daraus resultiert ein monatlicher Überschuss von Fr. 304.15. Dies ergibt einen jährlichen Überschuss von Fr. 3’649.80.</w:t>
      </w:r>
    </w:p>
    <w:p>
      <w:r>
        <w:t>E-707/2020 Seite 19 Damit ist von massgeblich veränderten finanziellen Verhältnissen auszu- gehen und die Voraussetzungen für die mit einem entsprechenden Vorbe- halt gewährte unentgeltliche Prozessführung sind nicht mehr gegeben. Der Beschwerdeführer ist zum heutigen Zeitpunkt nicht mehr prozessual be- dürftig (vgl. u.a. BGE 141 III 369 E. 4.1 m.w.H.), womit die Voraussetzun- gen von Art. 65 Abs. 1 VwVG nicht (mehr) erfüllt sind. Dem Beschwerde- führer sind demnach die Kosten des Verfahrens von insgesamt Fr. 750 – aufzuerlegen (Art. 63 Abs. 1 VwVG; Art. 1-3 des Reglements vom 21. Feb- ruar 2008 über die Kosten und Entschädigungen vor dem Bundesverwal- tungsgericht [VGKE, SR 173.320.2]).</w:t>
      </w:r>
    </w:p>
    <w:p>
      <w:r>
        <w:rPr>
          <w:b/>
        </w:rPr>
        <w:t>E. 10.2</w:t>
      </w:r>
    </w:p>
    <w:p>
      <w:r>
        <w:t>Der ehemalige Rechtsvertreter des Beschwerdeführers wurde mit Zwischenverfügung vom 11. März 2020 als amtlicher Rechtsbeistand ein- gesetzt. Er ersuchte am 25. Juni 2021 um Entlassung aus seinem Mandat und um Beiordnung der bei derselben Rechtsberatungsstelle angestellten jetzigen Rechtsvertreterin. Letztere wurde mit Zwischenverfügung vom</w:t>
      </w:r>
    </w:p>
    <w:p>
      <w:r>
        <w:rPr>
          <w:b/>
        </w:rPr>
        <w:t>E. 12</w:t>
      </w:r>
    </w:p>
    <w:p>
      <w:r>
        <w:t>Juli 2021 als amtliche Rechtsbeiständin für das vorliegende Verfahren eingesetzt. Es wurde keine Kostennote eingereicht. Auf die Nachforderung einer solchen kann jedoch verzichtet werden, da sich der notwendige Ver- tretungsaufwand zuverlässig aus den Akten abschätzen lässt (Art. 14 Abs. 2 in fine VGKE). Unter Berücksichtigung der massgebenden Berechnungs- faktoren (Art. 8-11 VGKE) erweist sich für den vormaligen Rechtsvertreter ein amtliches Honorar von pauschal Fr. 350.– als angemessen. Aufgrund der Aktenlage und mangels anderweitiger Indizien ist davon auszugehen, dass er den Honoraranspruch an die Caritas Schweiz abgetreten hat. Der seit 12. Juli 2021 eingesetzten Rechtsvertreterin ist in Anwendung der massgeblichen Bemessungsfaktoren vom Bundesverwaltungsgericht ein Honorar von ebenfalls Fr. 350.– auszurichten.</w:t>
      </w:r>
    </w:p>
    <w:p>
      <w:r>
        <w:t>E-707/2020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