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E-7076/2016 vom 26. Januar 2017</w:t>
      </w:r>
    </w:p>
    <w:p>
      <w:r>
        <w:t>Bundesverwaltungsgericht, 2017-01-26, FR</w:t>
      </w:r>
    </w:p>
    <w:p>
      <w:r>
        <w:rPr>
          <w:b/>
        </w:rPr>
        <w:t xml:space="preserve">Quelle: </w:t>
      </w:r>
      <w:r>
        <w:t>https://mcp.opencaselaw.ch/entscheid/bvger_E-7076_2016</w:t>
      </w:r>
    </w:p>
    <w:p>
      <w:r>
        <w:t>FR: TAF E-7076/2016 du 26 janvier 2017</w:t>
      </w:r>
    </w:p>
    <w:p>
      <w:r>
        <w:t>IT: TAF E-7076/2016 del 26 gennaio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La procédure de détermination de l'Etat responsable est engagée, aussitôt qu'une demande d'asile a été déposée pour la première fois dans un Etat membre (art. 20 par. 1 RD III).</w:t>
      </w:r>
    </w:p>
    <w:p>
      <w:r>
        <w:rPr>
          <w:b/>
        </w:rPr>
        <w:t>E. 2.2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 ; Filzwieser/Sprung, Dublin III-Verordnung, Vienne 2014, pt. 4 sur l'art. 7). Lorsqu'aucun Etat membre responsable ne peut être désigné sur la base de ces critères, le premier Etat membre auprès duquel la demande de protection internationale a été introduite est responsable de l'examen (art. 3 par. 2 1ère phrase RD III).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RD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RD III).</w:t>
      </w:r>
    </w:p>
    <w:p>
      <w:r>
        <w:rPr>
          <w:b/>
        </w:rPr>
        <w:t>E. 2.4</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l'intéressé avait été enregistré lors de son entrée en Italie, le 25 juillet 2016. En date du 2 septembre 2016, cet office a dès lors soumis aux autorités italiennes compétentes, dans les délais fixés à l'art. 21 par. 1 RD III, une requête aux fins de prise en charge, fondée sur l'art. 13 par. 1 RD III.</w:t>
      </w:r>
    </w:p>
    <w:p>
      <w:r>
        <w:rPr>
          <w:b/>
        </w:rPr>
        <w:t>E. 3.2</w:t>
      </w:r>
    </w:p>
    <w:p>
      <w:r>
        <w:t>. N'ayant pas répondu à la demande de prise en charge dans les délais prévus par le RD III (art. 22 par. 1), l'Italie est réputée l'avoir acceptée et, partant, avoir reconnu sa compétence pour traiter la demande d'asile de l'intéressé (art. 22 par. 7 RD III). Ce point n'est pas contesté.</w:t>
      </w:r>
    </w:p>
    <w:p>
      <w:r>
        <w:rPr>
          <w:b/>
        </w:rPr>
        <w:t>E. 3.3</w:t>
      </w:r>
    </w:p>
    <w:p>
      <w:r>
        <w:t>Au vu de l'art. 3 par. 2 RD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w:t>
      </w:r>
    </w:p>
    <w:p>
      <w:r>
        <w:rPr>
          <w:b/>
        </w:rPr>
        <w:t>E. 3.3.1</w:t>
      </w:r>
    </w:p>
    <w:p>
      <w:r>
        <w:t>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En outre,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w:t>
      </w:r>
    </w:p>
    <w:p>
      <w:r>
        <w:rPr>
          <w:b/>
        </w:rPr>
        <w:t>E. 3.3.2</w:t>
      </w:r>
    </w:p>
    <w:p>
      <w:r>
        <w:t>A cela s'ajoute que l'Italie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3.3.3</w:t>
      </w:r>
    </w:p>
    <w:p>
      <w:r>
        <w:t>Cet Etat ne connaît donc pas des défaillances systémiques au sens de l'art. 3 par. 2 RD III (arrêt n° 39350/13 du 30 juin 2015 cité ci-dessus). Dans ces conditions, l'application de cette disposition ne se justifie pas en l'espèce.</w:t>
      </w:r>
    </w:p>
    <w:p>
      <w:r>
        <w:rPr>
          <w:b/>
        </w:rPr>
        <w:t>E. 4.1</w:t>
      </w:r>
    </w:p>
    <w:p>
      <w:r>
        <w:t>Le recourant a contesté les conditions dans lesquelles le SEM a apprécié l'applicabilité, à son cas, de la clause discrétionnaire prévue à l'art. 17 par. 1 RD III (clause de souveraineté), qui trouve son écho à l'art. 29a al. 3 OA1 (raisons humanitaires).</w:t>
      </w:r>
    </w:p>
    <w:p>
      <w:r>
        <w:rPr>
          <w:b/>
        </w:rPr>
        <w:t>E. 4.2</w:t>
      </w:r>
    </w:p>
    <w:p>
      <w:r>
        <w:t>Depuis l'abrogation de l'art. 106 let. c LAsi, entrée en force le 1er février 2014, le Tribunal n'a plus la faculté de revoir l'appréciation du SEM statuant en opportunité. Dès lors, en présence d'éléments de nature à permettre l'application des clauses discrétionnaires, le Tribunal se limite à contrôler si le SEM a fait usage de son pouvoir d'appréciation, s'il a établi de manière complète l'état de fait, et s'il a statué selon des critères objectifs et transparents, dans le respect des principes constitutionnels que sont le droit d'être entendu, l'égalité de traitement et la proportionnalité (cf. ATAF 2015/9 consid. 8 p. 127-128).</w:t>
      </w:r>
    </w:p>
    <w:p>
      <w:r>
        <w:rPr>
          <w:b/>
        </w:rPr>
        <w:t>E. 4.3</w:t>
      </w:r>
    </w:p>
    <w:p>
      <w:r>
        <w:t>Dans le cas particulier, l'intéressé a reproché au SEM d'avoir tranché de ce point sur des bases insuffisantes, et donc de n'avoir pas suffisamment tiré au clair l'état de fait ; l'autorité de première instance aurait négligé de déterminer avec précision son état de santé, ce qui ne lui aurait pas permis d'en apprécier correctement les conséquences en matière d'exécution du transfert. Selon le recourant, les déclarations faites lors de son audition du 31 août 2016 auraient dû inciter l'autorité de première instance à instruire cette question de manière approfondie. En l'espèce, le Tribunal admet que la mention d'une perte de l'odorat, d'une perte partielle de la vision et de l'audition, ainsi que d'une paralysie faciale (pt. 7.01), aurait justifié que le SEM s'attache à déterminer précisément les affections touchant l'intéressé et leurs suites possibles ; en effet, il devait lui apparaître clairement qu'il ne s'agissait pas de troubles anodins, mais que l'état du requérant, au vu de la qualité des atteintes subies, pouvait être considéré comme sérieux. Le recourant allègue également que le reproche qui lui est fait par le SEM, de n'avoir spontanément produit aucune preuve de son état de santé, est infondé. Le Tribunal partage cette appréciation : comme on l'a vu, il incombait à l'autorité de première instance de prendre les mesures d'instruction nécessaires, et elle ne pouvait attendre passivement que le requérant, peu au fait de la procédure d'asile, y supplée de son propre mouvement ; il n'était alors pas pourvu d'un mandataire, ce dernier n'étant intervenu qu'au stade du recours. De même, le SEM ne pouvait reporter l'examen de l'état de l'intéressé au moment de l'exécution du transfert, dont il faut rappeler qu'elle est de la compétence du canton, ainsi qu'il apparaît le prévoir dans la décision attaquée. Le Tribunal constate également le caractère contradictoire de l'argumentation du SEM, qui relève que les problèmes de santé ne sont étayés par aucune preuve, puis qu'ils sont dépourvus de gravité. Cette dernière assertion paraît d'ailleurs sans fondement, au vu des informations médicales rassemblées en procédure de recours : les thérapeutes ont en effet retenu qu'un risque vital pour le requérant n'était pas exclu, et qu'une intervention chirurgicale était impérative.</w:t>
      </w:r>
    </w:p>
    <w:p>
      <w:r>
        <w:rPr>
          <w:b/>
        </w:rPr>
        <w:t>E. 4.4</w:t>
      </w:r>
    </w:p>
    <w:p>
      <w:r>
        <w:t>Dès lors, c'est sur la base d'un état de fait incomplet que l'autorité de première instance a écarté l'application de la clause discrétionnaire de l'art. 17 par. 1 RD III.</w:t>
      </w:r>
    </w:p>
    <w:p>
      <w:r>
        <w:rPr>
          <w:b/>
        </w:rPr>
        <w:t>E. 5.1</w:t>
      </w:r>
    </w:p>
    <w:p>
      <w:r>
        <w:t>En conséquence, la décision attaquée est annulée, en application de l'art. 106 let. b LAsi.</w:t>
      </w:r>
    </w:p>
    <w:p>
      <w:r>
        <w:rPr>
          <w:b/>
        </w:rPr>
        <w:t>E. 5.2</w:t>
      </w:r>
    </w:p>
    <w:p>
      <w:r>
        <w:t>Il appartiendra au SEM de tenir compte de l'ensemble des affections dont souffre le recourant, et de les prendre en considération lors de l'examen du cas sous l'angle de l'existence de raisons humanitaires au sens de l'art. 17 par. 1 RD III, combiné avec l'art. 29a al. 3 OA 1.</w:t>
      </w:r>
    </w:p>
    <w:p>
      <w:r>
        <w:rPr>
          <w:b/>
        </w:rPr>
        <w:t>E. 6.1</w:t>
      </w:r>
    </w:p>
    <w:p>
      <w:r>
        <w:t>Le recourant ayant gain de cause, il n'est pas perçu de frais (art. 65 al. 1 PA). La requête d'assistance judiciaire partielle est donc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 Tribunal fixe le montant de l'indemnité sur la base des deux notes de frais du 16 novembre et du 19 décembre 2016 (art. 14 al. 2 du règlement du 21 février 2008 concernant les frais, dépens et indemnités fixés par le Tribunal administratif fédéral [FITAF, RS 173.320.2]). Le Tribunal admet que les deux notes, qui font état de cinq heures de travail en tout, correspondent à la réalité. Se basant sur le tarif horaire de 100 à 300 francs applicable aux mandataires professionnels n'exerçant pas la profession d'avocat (art. 10 al. 2 FITAF), il fixe donc le montant des dépens à 1000 francs, au tarif horaire de 200 francs, plus 50 francs de frais ; s'y ajoute le supplément de 8% pour la TVA au sens de l'art. 9 al. 1 let. c FITAF, d'où un total de 1134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