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E-7073/2018 vom 31. Januar 2019</w:t>
      </w:r>
    </w:p>
    <w:p>
      <w:r>
        <w:t>Bundesverwaltungsgericht, 2019-01-31, DE</w:t>
      </w:r>
    </w:p>
    <w:p>
      <w:r>
        <w:rPr>
          <w:b/>
        </w:rPr>
        <w:t xml:space="preserve">Quelle: </w:t>
      </w:r>
      <w:r>
        <w:t>https://mcp.opencaselaw.ch/entscheid/bvger_E-7073_2018</w:t>
      </w:r>
    </w:p>
    <w:p>
      <w:r>
        <w:t>FR: TAF E-7073/2018 du 31 janvier 2019</w:t>
      </w:r>
    </w:p>
    <w:p>
      <w:r>
        <w:t>IT: TAF E-7073/2018 del 31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18 AsylG liegt ein Asylgesuch dann vor, wenn eine Person mit irgendeiner Äusserung zu erkennen gibt, dass sie in der Schweiz um Schutz vor Verfolgung ersucht. Gemäss Art. 31a Abs. 3 AsylG ist auf ein Gesuch, welches die Voraussetzungen von Art. 18 AsylG nicht erfüllt, nicht einzutreten.</w:t>
      </w:r>
    </w:p>
    <w:p>
      <w:r>
        <w:rPr>
          <w:b/>
        </w:rPr>
        <w:t>E. 5.1</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(vgl. BVGE 2011/1 E. 2).</w:t>
      </w:r>
    </w:p>
    <w:p>
      <w:r>
        <w:rPr>
          <w:b/>
        </w:rPr>
        <w:t>E. 5.2</w:t>
      </w:r>
    </w:p>
    <w:p>
      <w:r>
        <w:t>Im Rahmen der Überprüfung der vorinstanzlichen Rechtsanwendung stellt sich für das Bundesverwaltungsgericht vorab die Frage nach der Asylgesuchsqualität: Die Beschwerdeführerin hat zwar formell ein Asylgesuch gestellt, im gesamten vorinstanzlichen Verfahren aber nicht ansatzweise mit irgendeiner Äusserung zu erkennen gegeben, dass sie in der Schweiz um Schutz vor Verfolgung nachsuche. Dabei ist freilich der Begriff der Verfolgung nicht nur als Verfolgung i.S. von Art. 3 AsylG zu verstehen. Er umfasst in einem weiten Sinne auch gewisse Wegweisungsvollzugshindernisse, die allerdings einen menschlichen Akteur voraussetzen, weshalb es sich um Schutz vor Gefahren handeln muss, die direkt oder indirekt von Menschen geschaffen wurden oder drohen. Die Verfolgung i.S. von Art. 18 AsylG umfasst dementsprechend auch Gefahren, die von Bürgerkriegen, allgemeiner Gewalt oder drohenden Menschenrechtsverletzungen ausgehen. Vom Verfolgungsbegriff i.S. von Art. 18 AslyG ausgenommen sind hingegen - neben den in Art. 31a Abs. 3 AsylG (2. Satz) ausdrücklich erwähnten rein wirtschaftlichen oder medizinischen Gründen - Gefahren, die sich einzig aus der persönlichen Situation (z.B. Alter, Geschlecht) und der Lebenssituation der asylsuchenden Person (z.B. familiäre Situation) ergeben. Ebenfalls ausgeschlossen sind Ereignisse höherer Gewalt, die nicht von Menschenhand verursacht wurden, beispielsweise Naturkatastrophen, Hungersnot oder Dürre (vgl. das Urteil des Bundesverwaltungsgerichts E-938/2013 vom 18. März 2013 E. 5.1 m.w.H.). Die Beschwerdeführerin erwähnte hingegen als Anlass des Verlassens ihres Heimatstaates einzig die durch die Erkrankung der Mutter hervorgerufene schwierige Betreuungs- und Versorgungslage der Familie sowie den Umstand, dass ihr Bruder B._______ sie mit ins Ausland genommen habe (vgl. Akte A6 Ziff. 7.01 sowie A20 F72 und F107). Solche Gründe stellen wie gesehen nach Gesetz und Praxis keine Verfolgung dar. Die Beschwerdeführerin hat denn auch ausdrücklich eingeräumt, keine persönlichen Probleme irgendwelcher Art gehabt zu haben und gar nicht zu wissen, weshalb sie ausgereist sei. Auf Beschwerdestufe werden jetzt zwar erstmals ansatzweise Verfolgungsgründe erwähnt (z.B. möglicherweise bevorstehender Militärdienst, Herkunft aus einer regimekritischen Familie). Unbesehen der Frage, ob es sich dabei um ein beachtliches oder unbeachtliches Nachschieben von Asylgründen handelt, ändert dies jedoch nichts an der Erkenntnis, dass im Verfügungszeitpunkt keine Verfolgung vorlag. Die Erkenntnis des SEM, wonach die Beschwerdeführerin mangels Asylrelevanz der Vorbringen die Flüchtlingseigenschaft nicht erfülle, impliziert die Existenz eines Asylgesuchs. Diese Erkenntnis verträgt sich rechtslogisch aber nicht mit der zutreffenden anderen Erkenntnis des SEM, wonach es sich bei den Vorbringen der Beschwerdeführerin nicht um eine Verfolgung im Sinne von Art. 3 AsylG handle. Mit anderen Worten: Erfüllen die Vorbringen den (weiten) Verfolgungsbegriff nicht, dann sind die Anforderungen von Art. 18 AsylG an ein Asylgesuch nicht erfüllt und auf ein solches wäre nach Art. 31a Abs. 3 AsylG entsprechend nicht einzutreten. Das gewonnene Ergebnis entspricht nicht nur dem klaren Gesetzeswortlaut, sondern ebenso gefestigter Praxis (vgl. beispielhaft die Urteile des BVGer E-6340/2018, E-1582/2018, E-938/2013 sowie die konnexen Urteile E-321/14 und 2143/14).</w:t>
      </w:r>
    </w:p>
    <w:p>
      <w:r>
        <w:rPr>
          <w:b/>
        </w:rPr>
        <w:t>E. 5.3</w:t>
      </w:r>
    </w:p>
    <w:p>
      <w:r>
        <w:t>Zusammenfassend ist festzustellen, dass das SEM einen materiellen Entscheid über ein (vermeintliches) Asylgesuch getroffen hat, dessen Eintretensvoraussetzungen im Verfügungszeitpunkt nicht erfüllt waren. Die angefochtene Verfügung ist deshalb antragsgemäss aufzuheben und die Sache ist zur neuen Entscheidung im Sinne der Erwägungen an das SEM zurückzuweisen.</w:t>
      </w:r>
    </w:p>
    <w:p>
      <w:r>
        <w:rPr>
          <w:b/>
        </w:rPr>
        <w:t>E. 6</w:t>
      </w:r>
    </w:p>
    <w:p>
      <w:r>
        <w:t>Aus diesen Erwägungen ergibt sich, dass die angefochtene Verfügung den rechtserheblichen Sachverhalt unrichtig feststellt und Bundesrecht verletzt (Art. 106 Abs. 1 AsylG). Die Verfügung vom 12. November 2018 ist aufzuheben und die Beschwerde ist insoweit gutzuheissen. Die vorliegenden Beschwerdeakten E-7073/2018 stehen dem SEM bei Bedarf im Hinblick auf die Neubeurteilung zur Verfügung.</w:t>
      </w:r>
    </w:p>
    <w:p>
      <w:r>
        <w:rPr>
          <w:b/>
        </w:rPr>
        <w:t>E. 7.1</w:t>
      </w:r>
    </w:p>
    <w:p>
      <w:r>
        <w:t>Bei diesem Ausgang des Verfahrens sind keine Kosten zu erheben (Art. 63 Abs. 1 und 2 VwVG). Das Gesuch um Gewährung der unentgeltlichen Prozessführung nach Art. 65 Abs. 1 VwVG wird damit hinfällig.</w:t>
      </w:r>
    </w:p>
    <w:p>
      <w:r>
        <w:rPr>
          <w:b/>
        </w:rPr>
        <w:t>E. 7.2</w:t>
      </w:r>
    </w:p>
    <w:p>
      <w:r>
        <w:t>Der vertretenen Beschwerdeführerin ist angesichts ihres Obsiegens mit ihrem Kassationsantrag (Beschwerdeantrag Ziffer 2) in Anwendung von Art. 64 VwVG und Art. 7 Abs. 1 des Reglements vom 21. Februar 2008 über die Kosten und Entschädigungen vor dem Bundesverwaltungsgericht (VGKE, SR 173.320.2) eine Entschädigung für die ihr notwendigerweise erwachsenen Parteikosten zuzusprechen. Eine Honorarnote liegt nicht vor. Eine solche ist auch nicht erforderlich, denn die Kassation wurde vorliegend durch die Rechtsanwendung von Amtes wegen und nicht durch den Beschwerdeinhalt ausgelöst. Die Beschwerdebegründung erweist sich denn auch angesichts der obigen Erwägungen, welche für die Rechtsvertreterin bereits bei der Beschwerdeabfassung hätten erkennbar sein müssen, als nicht notwendig. Zu ersetzen ist somit nur der Aufwand, der mit dem blossen Stellen des Kassationsantrages (zzgl. Zustellungskosten) in Zusammenhang steht. Dieser ist von Amtes wegen auf Fr. 200.- (inkl. Auslagen und Mehrwertsteuerzuschlag) zu bemessen (vgl. Art. 14 Abs. 2 VGKE) und durch das SEM zu entschädigen. Das Gesuch um Beiordnung der rubrizierten Rechtsvertreterin als unentgeltliche Rechtbeiständin nach Art. 110a AsylG wird nach dem Gesagten und angesichts des instruktionslos ergehenden Direktentscheids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