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E-7063/2017 vom 20. Dezember 2017</w:t>
      </w:r>
    </w:p>
    <w:p>
      <w:r>
        <w:t>Bundesverwaltungsgericht, 2017-12-20, DE</w:t>
      </w:r>
    </w:p>
    <w:p>
      <w:r>
        <w:rPr>
          <w:b/>
        </w:rPr>
        <w:t xml:space="preserve">Quelle: </w:t>
      </w:r>
      <w:r>
        <w:t>https://mcp.opencaselaw.ch/entscheid/bvger_E-7063_2017</w:t>
      </w:r>
    </w:p>
    <w:p>
      <w:r>
        <w:t>FR: TAF E-7063/2017 du 20 décembre 2017</w:t>
      </w:r>
    </w:p>
    <w:p>
      <w:r>
        <w:t>IT: TAF E-7063/2017 del 20 dicembre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2.1 Mit Beschwerde kann die Verletzung von Bundesrecht (einschliesslich Missbrauch und Überschreiten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nicht eingetreten ist (vgl. BVGE 2012/4 E. 2.2 m.w.H.).</w:t>
      </w:r>
    </w:p>
    <w:p>
      <w:r>
        <w:rPr>
          <w:b/>
        </w:rPr>
        <w:t>E. 3</w:t>
      </w:r>
    </w:p>
    <w:p>
      <w:r>
        <w:t>3.1 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der Dublin-III-VO als zuständiger Staat bestimmt wird. Das Verfahren zur Bestimmung des zuständigen Mitgliedstaates wird eingeleitet, sobald in einem Mitgliedstaat erstmals ein Asylantrag gestellt wird (Art. 20 Abs. 1 Dublin-III-VO). 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4.1 Die Vorinstanz hält in der angefochtenen Verfügung fest, die deutschen Behörden hätten das Ersuchen des SEM um Übernahme des Beschwerdeführers gestützt auf Art. 18 Abs. 1 Bst. c Dublin-III-VO gutgeheissen, nachdem er bereits in früheren Dublin-Verfahren am 13. Januar 2016 und am 29. März 2017 nach Deutschland überstellt worden sei. Deutschland sei deshalb für die Durchführung des Asyl- und Wegweisungsverfahrens zuständig. Konkrete Anhaltspunkte, wonach Deutschland seinen völkerrechtlichen Verpflichtungen nicht nachkomme, würden keine bestehen. Im deutschen Asyl- und Aufnahmesystem würden keine systemischen Mängel existieren. Ferner würden auch keine Gründe gemäss Art. 16 Abs. 1 Dublin-III-VO vorliegen, welche die Schweiz verpflichten würde, das Asylgesuch des Beschwerdeführers zu prüfen. Es sei nicht von einer tatsächlichen, dauerhaften und gelebten Beziehung zwischen dem Beschwerdeführer und dessen Ehefrau im Sinne von Art. 8 EMRK auszugehen. Seine Ehefrau könne professionelle Betreuungsangebote in der Schweiz in Anspruch nehmen und sowohl während der Rekonvaleszenz als auch im Falle weiterer Behandlungen für die Kinder anderweitige Betreuungsmöglichkeiten beanspruchen. Ein besonderes Abhängigkeitsverhältnis liege nicht vor. Für eine Anwendung der Souveränitätsklausel gebe es keine Gründe.</w:t>
      </w:r>
    </w:p>
    <w:p>
      <w:r>
        <w:rPr>
          <w:b/>
        </w:rPr>
        <w:t>E. 4.2</w:t>
      </w:r>
    </w:p>
    <w:p>
      <w:r>
        <w:t>Den Erwägungen der Vorinstanz entgegnete der Beschwerdeführer, das SEM habe im Wiederaufnahmegesuch an Deutschland vom 3. November 2017 die Voraussetzungen gemäss Art. 23 Abs. 4 Dublin-III-VO nicht befolgt. Im Gesuch werde nicht erwähnt, dass seine Ehefrau und die gemeinsamen Kinder von ihm abhängig seien und eine stabile Familienbeziehung vorliege, welche bereits in Angola gelebt worden sei. Auch die dazugehörigen Beweismittel habe die Vorinstanz nicht erwähnt. Das rechtliche Gehör sei ihm erst nach der Stellung des Wiederaufnahmegesuchs und nach Gutheissung desselben gewährt worden. Deshalb habe die Vor-instanz den deutschen Behörden nicht alle wesentlichen Beweismittel einreichen können. Es wäre ihr möglich gewesen, mit dem Wiederaufnahmegesuch zu warten, zumal sie dafür nach Stellung des Asylgesuchs drei Monate Zeit gehabt hätte. Gestützt auf Art. 16 Dublin-III-VO hätte die Vor-instanz auf sein Asylgesuch eintreten müssen, da seine minderjährigen Kinder und die kranke Ehefrau auf seine Unterstützung angewiesen seien. Seit nunmehr (...) Jahren bestehe die Beziehung zu seiner Ehefrau. Sie würden seit seiner Einreise in die Schweiz im Jahr 2015 zusammenleben und seien lediglich zufolge seiner Ausweisung getrennt gewesen. Eine erneute Trennung stehe im Widerspruch zum übergeordneten Kindswohl. Eine schriftliche Bestätigung zum Wunsch des Zusammenlebens beider Ehegatten werde nachgereicht.</w:t>
      </w:r>
    </w:p>
    <w:p>
      <w:r>
        <w:rPr>
          <w:b/>
        </w:rPr>
        <w:t>E. 4.3</w:t>
      </w:r>
    </w:p>
    <w:p>
      <w:r>
        <w:t>Das vorliegend zu behandelnde Asylgesuch vom 19. Oktober 2017 ist das dritte Asylgesuch des Beschwerdeführers in der Schweiz, mithin in einem Dublin-Mitgliedstaat. Es handelt sich vorliegend um eine take back-Konstellation, bei der grundsätzlich keine erneute Zuständigkeitsprüfung nach Kapitel III der Dublin-III-VO stattfindet (vgl. BVGE 2012/4 E 3.2.1 m.w.H.). Die Vorinstanz stellte bei den deutschen Behörden zu Recht gestützt auf Art. 18 Abs. 1 Bst. b Dublin-III-VO ein Gesuch um Wiederaufnahme des Beschwerdeführers. Den Gesundheitszustand der Ehefrau und das damit zusammenhängende angebliche Abhängigkeitsverhältnis der Kinder zum Beschwerdeführer musste sie nicht erwähnen. Art. 16 Dublin-III-VO regelt nicht den Inhalt des Wiederaufnahmegesuchs, sondern kommt zur Anwendung, wenn die betroffenen Personen schriftlich ihren Wunsch zur Zusammenführung des Antragstellers mit der abhängigen Person kundtun (vgl. Art. 16 Abs. 1 Dublin-III-VO). Weiter durfte die Vorinstanz das Gesuch bereits vor der Gewährung des rechtlichen Gehörs zu einer allfälligen Überstellung nach Deutschland einreichen und musste nicht die Stellungnahme des Beschwerdeführers abwarten. Die deutschen Behörden hiessen das Gesuch am 3. November 2017 gut. Die grundsätzliche Zuständigkeit Deutschlands für die Durchführung des Asylverfahrens ist damit gegeben. Anzeichen für systemische Mängel im Asyl- und Aufnahmeverfahren Deutschlands liegen keine vor.</w:t>
      </w:r>
    </w:p>
    <w:p>
      <w:r>
        <w:rPr>
          <w:b/>
        </w:rPr>
        <w:t>E. 4.4</w:t>
      </w:r>
    </w:p>
    <w:p>
      <w:r>
        <w:t>Im Urteil des Bundesverwaltungsgerichts E-7613/2016 vom 11. Januar 2017 wurde unter E. 4.4 ausführlich dargelegt, weshalb keine nahe, echte und tatsächlich gelebte familiäre Beziehung zwischen dem Beschwerdeführer und seiner Ehefrau vorliegt. Eine Änderung der Verhältnisse zum heutigen Zeitpunkt ist nicht ersichtlich. Der Beschwerdeführer stellte sein drittes Asylgesuch am 19. Oktober 2017 und hält sich somit erst seit knapp zwei Monaten wieder in der Schweiz auf. Er führt zwar aus, mit seiner Ehefrau an der gleichen Wohnadresse zu leben, macht jedoch zu einem allfällig gelebten Familienleben keinerlei weitere Angaben. Allein aus einer gemeinsamen Wohnadresse und dieser kurzen Dauer des Zusammenlebens kann nicht auf ein durch Art. 8 EMRK geschütztes Familienleben geschlossen werden. Als abhängige Personen gemäss Art. 16 Abs. 1 Dublin-III-VO gelten Kinder, Geschwister oder Elternteile des Antragsstellers. Weiter muss eine familiäre Bindung zum genannten Personenkreis vorliegen, welche bereits im Herkunftsland bestanden hat. Gemäss den eingereichten Arztberichten wurde seine Ehefrau am 23. Oktober 2017 operiert und konnte bereits vier Tage später in gutem Allgemeinzustand aus dem Spital entlassen werden. Angaben zu weiterem Behandlungsbedarf liegen nicht vor. Der Gesundheitszustand der Ehefrau ist gemäss bestehenden Akten nicht derart gravierend, als dass sie ihre elterlichen Pflichten nicht mehr wahrnehmen könnte. Die Kinder sind deshalb nicht vom Beschwerdeführer abhängig. Zudem fehlt es auch am schriftlichen Antrag auf Zusammenführung mit den abhängigen Personen und es ist nicht von einer bereits im Herkunftsland gelebten Beziehung zu den in der Schweiz geborenen Kindern auszugehen (vgl. Art. 16 Abs. 1 Dublin-III-VO). Eine weitergehende Änderung des Sachverhalts im Vergleich zum Urteil des Bundesverwaltungsgerichts vom 11. Januar 2017 liegt nicht vor und auch hinsichtlich der Interessensabwägung kann auf dieses verwiesen werden (vgl. E-7613/2016 E 4.4). Es besteht kein überwiegendes privates Interesse des Beschwerdeführers an einer Anwesenheit im Rahmen eines Asylverfahrens in der Schweiz.</w:t>
      </w:r>
    </w:p>
    <w:p>
      <w:r>
        <w:rPr>
          <w:b/>
        </w:rPr>
        <w:t>E. 4.5</w:t>
      </w:r>
    </w:p>
    <w:p>
      <w:r>
        <w:t>Schliesslich ist festzuhalten, dass der Vorinstanz bei der Anwendung von Art. 29a Abs. 3 der Asylverordnung 1 vom 11. August 1999 (AsylV 1, SR 142.311) Ermessen zukommt (vgl. BVGE 2015/9 E. 7 f.) und den Akten keine Hinweise auf eine gesetzeswidrige Ermessensausübung (vgl. Art. 106 Abs. 1 Bst. a AsylG) durch die Vorinstanz zu entnehmen sind.</w:t>
      </w:r>
    </w:p>
    <w:p>
      <w:r>
        <w:rPr>
          <w:b/>
        </w:rPr>
        <w:t>E. 4.6</w:t>
      </w:r>
    </w:p>
    <w:p>
      <w:r>
        <w:t>Die Vorinstanz ist somit zutreffend von der Zuständigkeit Deutschlands ausgegangen und in Anwendung von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(vgl. BVGE 2010/45 E. 10). 5.5.1 Der Beschwerdeführer beantragte die Gewährung der unentgeltlichen Rechtspflege gemäss Art. 65 Abs. 1 und 2 VwVG. Aufgrund der vorstehenden Erwägungen ergibt sich, dass seine Rechtsbegehren als aussichtslos zu gelten haben. Damit ist eine der kumulativ zu erfüllenden Voraussetzungen nicht gegeben, weshalb dem Gesuch nicht stattzugeben ist. 5.2 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Verzicht auf die Erhebung eines Kostenvorschusses ist mit dem vorliegenden Urteil gegenstandslos geworden. 6.Mit dem vorliegenden Urteil fällt der am 15. Dezember 2017 verfügte Vollzugsstopp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