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E-7053/2015 vom 16. November 2015</w:t>
      </w:r>
    </w:p>
    <w:p>
      <w:r>
        <w:t>Bundesverwaltungsgericht, 2015-11-16, DE</w:t>
      </w:r>
    </w:p>
    <w:p>
      <w:r>
        <w:rPr>
          <w:b/>
        </w:rPr>
        <w:t xml:space="preserve">Quelle: </w:t>
      </w:r>
      <w:r>
        <w:t>https://mcp.opencaselaw.ch/entscheid/bvger_E-7053_2015</w:t>
      </w:r>
    </w:p>
    <w:p>
      <w:r>
        <w:t>FR: TAF E-7053/2015 du 16 novembre 2015</w:t>
      </w:r>
    </w:p>
    <w:p>
      <w:r>
        <w:t>IT: TAF E-7053/2015 del 16 novembre 2015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unter Vorbehalt nachfolgender Erwägungen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Soweit der Beschwerdeführer die Gewährung von Asyl, die Feststellung der Flüchtlingseigenschaft und die vorläufige Aufnahme begehrt, erweitert er den Streitgegenstand, was unzulässig ist. Insoweit ist auf die Beschwerde nicht einzutreten. Soweit der Beschwerdeführer den Antrag stellt, jegliche Datenweitergabe an den Heimatstaat sei zu unterlassen sowie (eventualiter) bei bereits erfolgter Datenweitergabe darüber in einer separaten Verfügung informiert zu werden, so ist die Beschwerde mangelhaft, weil es an einer genügenden Begründung fehlt (Art. 52 Abs. 1 VwVG). Eine Rückweisung zur Verbesserung des Mangels (Art. 52 Abs. 2 VwVG) kann unterbleiben, weil der verfahrensrechtliche Antrag mit dem vorliegenden Endentscheid gegenstandslos wird. 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Abs. 1 AsylG werden unter dem Titel Familienasyl Ehegatten von asylberechtigten Flüchtlingen und deren minderjährige Kinder als Flüchtlinge anerkannt und erhalten Asyl, sofern keine besonderen Umstände dagegen sprechen.</w:t>
      </w:r>
    </w:p>
    <w:p>
      <w:r>
        <w:rPr>
          <w:b/>
        </w:rPr>
        <w:t>E. 3.2</w:t>
      </w:r>
    </w:p>
    <w:p>
      <w:r>
        <w:t>Der Beschwerdeführer bestreitet weder in seinem Gesuch noch auf Beschwerdeebene, dass seine Kinder zum Zeitpunkt der Gesuchseinreichung bereits volljährig waren. Damit ist eine der gesetzlichen Voraussetzungen von Art. 51 Abs. 1 AsylG nicht erfüllt. Die Familienzusammenführung mit seinen Kindern in der Schweiz ist daher nicht möglich.</w:t>
      </w:r>
    </w:p>
    <w:p>
      <w:r>
        <w:rPr>
          <w:b/>
        </w:rPr>
        <w:t>E. 4</w:t>
      </w:r>
    </w:p>
    <w:p>
      <w:r>
        <w:t>Aus dem vorstehend Ausgeführten ergibt sich, dass die angefochtene Verfügung Bundesrecht nicht verletzt und auch sonst nicht zu beanstanden ist (Art. 106 Abs. 1 AsylG). Die Beschwerde ist abzuweisen.</w:t>
      </w:r>
    </w:p>
    <w:p>
      <w:r>
        <w:rPr>
          <w:b/>
        </w:rPr>
        <w:t>E. 5</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sowie der unentgeltlichen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