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E-7050/2006 vom 24. April 2008</w:t>
      </w:r>
    </w:p>
    <w:p>
      <w:r>
        <w:t>Bundesverwaltungsgericht, 2008-04-24, FR</w:t>
      </w:r>
    </w:p>
    <w:p>
      <w:r>
        <w:rPr>
          <w:b/>
        </w:rPr>
        <w:t xml:space="preserve">Quelle: </w:t>
      </w:r>
      <w:r>
        <w:t>https://mcp.opencaselaw.ch/entscheid/bvger_E-7050_2006</w:t>
      </w:r>
    </w:p>
    <w:p>
      <w:r>
        <w:t>FR: TAF E-7050/2006 du 24 avril 2008</w:t>
      </w:r>
    </w:p>
    <w:p>
      <w:r>
        <w:t>IT: TAF E-7050/2006 del 24 aprile 2008</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suisse de recours en matière d'asile au 31 décembre 2006, sont traités par le Tribunal dans la mesure où il est compétent (art. 53 al. 2 phr. 1 LTAF). Le nouveau droit de procédure s'applique (art. 53 al. 2 phr. 2 LTAF).</w:t>
      </w:r>
    </w:p>
    <w:p>
      <w:r>
        <w:rPr>
          <w:b/>
        </w:rPr>
        <w:t>E. 1.3</w:t>
      </w:r>
    </w:p>
    <w:p>
      <w:r>
        <w:t>La recourante a qualité pour recourir (art. 48 al. 1 PA). Présenté dans la forme (art. 52 al. 1 PA) et le délai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dans son recours, A._______ a allégué qu'elle avait quitté le Nigéria afin d'échapper à son père qui entendait lui faire subir une excision et qu'elle craignait de ne pas pouvoir s'y soustraire en cas de retour. De plus, elle a invoqué l'absence de volonté de l'Etat nigérian de lutter contre les mutilations génitales féminines et de protéger les femmes touchées par cette pratique.</w:t>
      </w:r>
    </w:p>
    <w:p>
      <w:r>
        <w:rPr>
          <w:b/>
        </w:rPr>
        <w:t>E. 3.2</w:t>
      </w:r>
    </w:p>
    <w:p>
      <w:r>
        <w:t>Selon la jurisprudence de la Commission (cf. Jurisprudence et informations de la Commission suisse de recours en matière d'asile [JICRA] 2006 n° 18 consid. 10 p. ) qui a été reprise par le présent Tribunal, les sérieux préjudices de l'art. 3 LAsi peuvent être non seulement causés par des agents étatiques, ils peuvent également être le fait de tiers lorsque l'Etat n'entreprend rien pour empêcher leurs auteurs de les commettre ou pour les sanctionner, que ce soit parce qu'il tolère voire soutient de tels agissements ou, sans intention délibérée de nuire, parce qu'il n'a pas la capacité de les prévenir. Autrement dit, il n'existe pas de persécution déterminante en matière d'asile,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épuise dans son propre pays les possibilités de protection contre d'éventuelles persécutions avant de solliciter celle d'un Etat tiers.</w:t>
      </w:r>
    </w:p>
    <w:p>
      <w:r>
        <w:rPr>
          <w:b/>
        </w:rPr>
        <w:t>E. 3.3</w:t>
      </w:r>
    </w:p>
    <w:p>
      <w:r>
        <w:t>La mutilation génitale féminine (la MGF, appelée aussi circoncision féminine) regroupe un ensemble de pratiques traditionnelles qui consistent toutes en une forme d'ablation des organes génitaux d'une femme ou d'une fille, telles la clitoridectomie, l'excision et l'infibulation. Bien que moins fréquente depuis quelques années, elle demeure encore répandue au Nigéria, essentiellement chez les Yoroubas (dans le sud-ouest), les Igbos (dans le sud-est), les Haoussas (dans le nord) et les Kanouris (également dans le nord). L'âge auquel les femmes subissent cette pratique dépend des traditions du groupe ethnique auquel elles appartiennent et de la région où elles habitent ; toutefois, dans la majorité des régions du Nigéria, les filles la subissent à la naissance (cf. Nigéria : information sur les MGF, Direction des recherches, Commission de l'immigration et du statut du réfugié au Canada, Ottawa, 27 novembre 2003 et 30 octobre 2006, en ligne sur le site internet de la Commission de l'immigration et du statut du réfugié du Canada &gt; Recherches sur les pays d'origine &gt; Réponses aux demandes &gt; Recherche en texte intégral &gt; NGA41705.EF et NGA101531.EF, visité le 7 avril 2008). Bien qu'il n'existe encore pas de loi fédérale interdisant la MGF, le gouvernement nigérian a publiquement critiqué cette pratique. Un projet de loi sur la "violence contre les femmes : les mutilations sexuelles féminines" a cependant été adopté par la chambre basse de l'Assemblée nationale et est actuellement soumis au Sénat pour approbation (cf. doc. cités ci-dessus). De plus, plusieurs Etats du Nigéria ont adopté des lois interdisant cette pratique, dont l'Edo State (d'où est originaire la recourante) en octobre 1999 et le Delta State (d'où est originaire le père de l'intéressée) en avril 2001. En outre, lors de la Conférence internationale sur la tolérance zéro à la mutilation génitale des femmes, tenue à Addis-Abeba en février 2003, les gouvernements et les ONG internationales ont adopté un plan d'action commun sur la politique à adopter, comprenant notamment la production de matériel de sensibilisation, des programmes pour les dirigeants religieux, la participation des jeunes, la formation des médias et des professionnels de la santé et des mesures législatives. A cela s'ajoute que, le 30 avril 2003, le Conseil exécutif fédéral nigérian a approuvé la politique et le plan d'action nationaux présentés par le ministère fédéral de la santé publique, visant l'élimination de la pratique de la MGF. De nombreuses organisations nationales et internationales de défense des droits de la personne, dont le Comité interafricain (CI-AF) sur les pratiques traditionnelles néfastes, poursuivent leurs efforts en vue d'éradiquer cette pratique. Par ailleurs, les institutions gouvernementales et plusieurs ONG aident les femmes qui refusent de se soumettre à la MGF au Nigéria (cf. doc. NGA101531.EF cité ci-dessus). Dès lors, et quand bien même cette pratique demeure encore pratiquée au Nigéria - elle décline toutefois dans les grands centres urbains -, l'on ne saurait considérer que les autorités nigérianes encouragent, soutiennent ou même tolèrent une telle pratique. L'on ne saurait non plus prétendre que le Nigéria ne dispose pas d'infrastructures suffisantes et accessibles pour lutter contre ces mauvais traitements. Il sied de relever à cet égard que A._______ n'a pas, selon ses dires, sollicité la protection des autorités de son pays (cf. pv d'audition fédérale p. 9). Elle n'a non plus apporté d'éléments rendant hautement probable que les autorités nigérianes ne voulaient ou ne pouvaient pas poursuivre le coupable. Par conséquent, les préjudices que craint de subir l'intéressée ne sont pas pertinents pour la reconnaissance de la qualité de réfugiée au sens de l'art. 3 LAsi. Au demeurant, dès lors que A._______ a affirmé que son père l'avait reniée et qu'il ne voulait plus la voir tant qu'il était en vie (cf. let. B. supra), elle ne devrait plus être exposée à de nouvelles menaces d'excision; il en va de même pour sa fille. Quoi qu'il en soit, elle devrait pouvoir poursuivre en justice l'auteur de ces menaces tant dans l'Edo State que le Delta State (cf. ci-dessus) et solliciter l'aide des institutions gouvernementales et des ONG qui offrent leurs services aux femmes qui refusent de se soumettre à la MGF (cf. doc. NGA101531.EF cité ci-dessus).</w:t>
      </w:r>
    </w:p>
    <w:p>
      <w:r>
        <w:rPr>
          <w:b/>
        </w:rPr>
        <w:t>E. 3.4</w:t>
      </w:r>
    </w:p>
    <w:p>
      <w:r>
        <w:t>Au vu de ce qui précède, point n'est besoin d'examiner plus avant les autres griefs du recours. En outre, les documents versés au dossier ne sauraient modifier l'appréciation du Tribunal.</w:t>
      </w:r>
    </w:p>
    <w:p>
      <w:r>
        <w:rPr>
          <w:b/>
        </w:rPr>
        <w:t>E. 3.5</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(cf. consid. 3.3 supra), aucun élément au dossier ne permet de penser qu'en cas de retour dans leur pays d'origine, la recourante et sa fille seraient exposées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l'intéressée n'a pas été en mesure d'établir l'existence d'un risque personnel, concret et sérieux d'être soumise, ainsi que sa fille, en cas de renvoi au Nigéria, à un traitement prohibé par l'art. 3 CEDH ou par l'art. 3 Conv. torture.</w:t>
      </w:r>
    </w:p>
    <w:p>
      <w:r>
        <w:rPr>
          <w:b/>
        </w:rPr>
        <w:t>E. 6.6</w:t>
      </w:r>
    </w:p>
    <w:p>
      <w:r>
        <w:t>Dès lors, l'exécution du renvoi de la recourante et de sa fille ne contrevient à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Le Tribunal n'est pas sans ignorer que le retour d'une femme seule au Nigéria, accompagnée d'un enfant en bas âge (3 ans et demi), ne sera pas exempt de difficultés, de surcroît après plusieurs années passées en Suisse. A cet égard, il sied cependant de relever que la recourante est une jeune femme de [...] ans, au bénéfice d'un certificat de fin d'études secondaires (cf. pv d'audition cantonale p. 5) et qu'elle n'a pas allégué qu'elle ou sa fille souffrait de problèmes de santé particuliers. Elle maîtrise en outre l'anglais (cf. pv d'audition au CERA. 2), parle parfaitement le français et a toujours cherché à subvenir à ses propres besoins en Suisse en exerçant plusieurs emplois en tant que femme de chambre et nettoyeuse (cf. let. J. supra). Dès lors qu'elle a acquis aujourd'hui une certaine maturité, qu'elle est devenue autonome et responsable, rien n'indique qu'elle se verrait dans l'impossibilité de trouver une activité professionnelle (comme elle l'a fait en Suisse) susceptible de subvenir à ses propres besoins et à ceux de sa fille. Par ailleurs, si elle n'entend pas retourner dans sa ville natale de C._______, il lui est loisible de s'établir dans une autre grande ville, par exemple à E._______, où vit son ancien ami, ou à D._______, où habite sa tante. Enfin, elle devrait pouvoir compter, sur place, sur l'aide et le soutien de sa mère, de son frère (qui l'avait libérée et lui avait donné de l'argent (cf. let. A. supra), de sa soeur, avec qui elle a des contacts (cf. le courrier du 14 décembre 2006), de sa tante et de son ancien ami. Ainsi, la recourante et sa fille ne seraient pas seules et démunies à leur retour au Nigéria.</w:t>
      </w:r>
    </w:p>
    <w:p>
      <w:r>
        <w:rPr>
          <w:b/>
        </w:rPr>
        <w:t>E. 7.4</w:t>
      </w:r>
    </w:p>
    <w:p>
      <w:r>
        <w:t>Pour ces motifs, l'exécution du renvoi doit être considérée comme raisonnablement exigible.</w:t>
      </w:r>
    </w:p>
    <w:p>
      <w:r>
        <w:rPr>
          <w:b/>
        </w:rPr>
        <w:t>E. 8</w:t>
      </w:r>
    </w:p>
    <w:p>
      <w:r>
        <w:t>Enfin, la recourante et sa fille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La demande de dispense des frais de procédure est admise, dès lors que les conclusions du recours n'étaient pas d'emblée vouées à l'échec et que l'indigence de la recourante doit être admise sur la base des renseignements à disposition du Tribunal (cf. art. 65 al. 1 PA).</w:t>
      </w:r>
    </w:p>
    <w:p>
      <w:r>
        <w:rPr>
          <w:b/>
        </w:rPr>
        <w:t>E. 10.2</w:t>
      </w:r>
    </w:p>
    <w:p>
      <w:r>
        <w:t>Il n'y a dès lors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