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E-7040/2016 vom 5. Juli 2017</w:t>
      </w:r>
    </w:p>
    <w:p>
      <w:r>
        <w:t>Bundesverwaltungsgericht, 2017-07-05, DE</w:t>
      </w:r>
    </w:p>
    <w:p>
      <w:r>
        <w:rPr>
          <w:b/>
        </w:rPr>
        <w:t xml:space="preserve">Quelle: </w:t>
      </w:r>
      <w:r>
        <w:t>https://mcp.opencaselaw.ch/entscheid/bvger_E-7040_2016</w:t>
      </w:r>
    </w:p>
    <w:p>
      <w:r>
        <w:t>FR: TAF E-7040/2016 du 5 juillet 2017</w:t>
      </w:r>
    </w:p>
    <w:p>
      <w:r>
        <w:t>IT: TAF E-7040/2016 del 5 luglio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Überschreitung des Ermessens) sowie die unrichtige oder unvollständige Feststellung des rechtserheblichen Sachverhalts gerügt werden (Art. 106 Abs. 1 AsylG). Im Ausländerrecht richtet sich die Kognition nach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begründet und ist im Verfahren einzelrichterlicher Zuständigkeit mit Zustimmung eines zweiten Richters oder einer zweiten Richterin (Art. 111 Bst. e AsylG) ohne Weiterungen und mit summarischer Begründung zu behandeln (Art. 111a AsylG).</w:t>
      </w:r>
    </w:p>
    <w:p>
      <w:r>
        <w:rPr>
          <w:b/>
        </w:rPr>
        <w:t>E. 3.1</w:t>
      </w:r>
    </w:p>
    <w:p>
      <w:r>
        <w:t>Gemäss Art. 31a Abs. 1 Bst. b AsylG tritt die Vorinstanz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3.3</w:t>
      </w:r>
    </w:p>
    <w:p>
      <w:r>
        <w:t>Erweist es sich als unmöglich, eine antragstellende Person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w:t>
      </w:r>
    </w:p>
    <w:p>
      <w:r>
        <w:t>Ein Abgleich der Fingerabdrücke des Beschwerdeführers mit der Eurodac-Datenbank ergab, dass dieser am 30. Juni 2016 in Ungarn ein Asylgesuch eingereicht hatte. Die ungarischen Behörden liessen das Übernahmeersuchen der Vorinstanz innert der in Art. 22 Abs. 1 Dublin-III-VO vorgesehenen Frist unbeantwortet, womit sie die Zuständigkeit Ungarns implizit anerkannten (Art. 22 Abs. 7 Dublin-III-VO). Die Zuständigkeit Ungarns ist somit grundsätzlich gegeben, was vom Beschwerdeführer auch unbestritten blieb.</w:t>
      </w:r>
    </w:p>
    <w:p>
      <w:r>
        <w:rPr>
          <w:b/>
        </w:rPr>
        <w:t>E. 5.1</w:t>
      </w:r>
    </w:p>
    <w:p>
      <w:r>
        <w:t>Der Beschwerdeführer bringt vor, eine Überstellung nach Ungarn verstosse wegen der drohenden Inhaftierung und der Haftbedingungen gegen Art. 5 Abs. 1 AsylG und infolgedessen gegen das Non-Refoulement Prinzip. Der Zugang zum ungarischen Asylverfahren würde ihm verwehrt bleiben. Zudem weise das ungarische Asylwesen systemische Mängel auf. Dies spreche für eine Selbsteintrittspflicht der Schweiz.</w:t>
      </w:r>
    </w:p>
    <w:p>
      <w:r>
        <w:rPr>
          <w:b/>
        </w:rPr>
        <w:t>E. 5.2</w:t>
      </w:r>
    </w:p>
    <w:p>
      <w:r>
        <w:t>Im Lichte von Art. 3 Abs. 2 Dublin-III-VO ist zu prüfen, ob es wesentliche Gründe für die Annahme gibt, das Asylverfahren und die Aufnahmebedingungen für Asylsuchende in Ungarn würden systemische Schwachstellen aufweisen, welche eine Gefahr einer unmenschlichen oder entwürdigenden Behandlung im Sinne des Art. 4 der EU-Grundrechtecharta mit sich bringen und folglich die grundsätzliche Zuständigkeit Ungarns im Sinne von Art. 3 Abs. 1 Dublin-III-VO durchbrechen würden.</w:t>
      </w:r>
    </w:p>
    <w:p>
      <w:r>
        <w:rPr>
          <w:b/>
        </w:rPr>
        <w:t>E. 5.3</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5.4</w:t>
      </w:r>
    </w:p>
    <w:p>
      <w:r>
        <w:t>Mit derselben Begründung, wie sie vorstehend dargelegt wurde, ist es dem Gericht vorliegend nicht möglich, die Vorbringen der Beschwerde zu beurteilen. Die angefochtene Verfügung ist folglich aufzuheben und die Sache zur vollständigen Sachverhaltsfeststellung sowie zu neuer Entscheidung an die Vorinstanz zurückzuweisen. Die Beschwerde ist somit gutzuheissen, ohne dass auf die weiteren Beschwerdevorbringen eingegangen werden müsste.</w:t>
      </w:r>
    </w:p>
    <w:p>
      <w:r>
        <w:rPr>
          <w:b/>
        </w:rPr>
        <w:t>E. 6</w:t>
      </w:r>
    </w:p>
    <w:p>
      <w:r>
        <w:t>Bei diesem Ausgang des Verfahrens sind keine Kosten zu erheben (Art. 63 Abs. 1 und 2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