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E-7039/2015 vom 17. August 2016</w:t>
      </w:r>
    </w:p>
    <w:p>
      <w:r>
        <w:t>Bundesverwaltungsgericht, 2016-08-17, DE</w:t>
      </w:r>
    </w:p>
    <w:p>
      <w:r>
        <w:rPr>
          <w:b/>
        </w:rPr>
        <w:t xml:space="preserve">Quelle: </w:t>
      </w:r>
      <w:r>
        <w:t>https://mcp.opencaselaw.ch/entscheid/bvger_E-7039_2015</w:t>
      </w:r>
    </w:p>
    <w:p>
      <w:r>
        <w:t>FR: TAF E-7039/2015 du 17 août 2016</w:t>
      </w:r>
    </w:p>
    <w:p>
      <w:r>
        <w:t>IT: TAF E-7039/2015 del 17 agosto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Gestützt auf Art. 111a Abs. 1 AsylG wurde vorliegend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Wie sich aus nachstehenden Erwägungen ergibt, stellte das SEM im Ergebnis zu Recht fest, dass die Vorbringen des Beschwerdeführers den Anforderungen an die Flüchtlingseigenschaft gemäss Art. 3 AsylG nicht stand zu halten vermögen. Die zur Begründung dieser Schlussfolgerung angeführten Erwägungen der Vorinstanz vermögen grundsätzlich zu überzeugen.</w:t>
      </w:r>
    </w:p>
    <w:p>
      <w:r>
        <w:rPr>
          <w:b/>
        </w:rPr>
        <w:t>E. 4.2</w:t>
      </w:r>
    </w:p>
    <w:p>
      <w:r>
        <w:t>Der Beschwerdeführer nennt als unmittelbar ausreiserelevanten Vorfluchtgrund die Erpressungsversuche seitens der Taliban. Aus der vorgetragenen Sachverhaltsdarstellung wird allerdings nicht ersichtlich, inwiefern er eine im asylrechtlichen Kontext bedeutsame Verfolgung im Heimatland zu befürchten hat. Die geltend gemachten Vorfälle weisen keine asylrechtlich motivierte Verfolgungsmotivation auf, sondern sind vielmehr als krimineller Akt beziehungsweise gemeinrechtliches Delikt zu qualifizieren, ohne dass eine Benachteiligung aus einem in Art. 3 AsylG genannten Grund erkennbar ist. Folglich sind die geltend gemachten Verfolgungsmassnahmen seitens der Taliban asylrechtlich nicht von Belang. Dabei vermögen auch die Vorbringen in der Rechtsmitteileinabe den Einwand der fehlenden Asylrelevanz nicht zu entkräften.</w:t>
      </w:r>
    </w:p>
    <w:p>
      <w:r>
        <w:rPr>
          <w:b/>
        </w:rPr>
        <w:t>E. 4.3</w:t>
      </w:r>
    </w:p>
    <w:p>
      <w:r>
        <w:t>In Bezug auf den tragischen Vorfall, bei welchem die Mutter des Beschwerdeführers bei einer Explosion eines Nachbarfahrzeugs ums Leben gekommen sei, ist auf die zutreffenden Erwägungen der Vorinstanz zu verweisen, wonach das Ereignis aufgrund seiner fehlenden Gezieltheit nicht als asylrelevant im Sinne von Art. 3 AsylG zu qualifizieren ist.</w:t>
      </w:r>
    </w:p>
    <w:p>
      <w:r>
        <w:rPr>
          <w:b/>
        </w:rPr>
        <w:t>E. 4.4.1</w:t>
      </w:r>
    </w:p>
    <w:p>
      <w:r>
        <w:t>Sodann ist in Bezug auf das Vorbringen, die Behörden würden sich am vermögenden Beschwerdeführer bereichern wollen beziehungsweise es würde womöglich bekannt werden, dass er vermögend sei, und man könnte daraufhin versuchen, hieraus Kapital zu schlagen, festzustellen, dass dies derzeit eine reine Behauptung darstellt, zumal er die Behörden - trotz des Rats des Dorfältesten - bis anhin in dieser Sache nicht um Hilfe ersucht hat. Sollten die Behörden in seiner Heimatstadt jedoch tatsächlich nicht in der Lage sowie willens sein, dem zur sozialen Gruppe der Vermögenden gehörenden Beschwerdeführer Schutz zu bieten, steht es ihm - wie nachfolgend aufzuzeigen sein wird - offen, sich an die Behörden in Kabul zu wenden. Wirken sich die Benachteiligungen nämlich nur lokal, nicht aber im ganzen Staatsgebiet aus, und kann die betroffene Person in anderen Landesteilen wirksamen Schutz vor Verfolgung finden, so kann ihr das Vorliegen einer innerstaatlichen Schutzalternative entgegengehalten werden; damit wäre sie nicht auf den Schutz eines Drittstaates angewiesen und ihre Flüchtlingseigenschaft folglich zu verneinen (vgl. dazu BVGE 2011/51 E. 8.1).</w:t>
      </w:r>
    </w:p>
    <w:p>
      <w:r>
        <w:rPr>
          <w:b/>
        </w:rPr>
        <w:t>E. 4.4.2</w:t>
      </w:r>
    </w:p>
    <w:p>
      <w:r>
        <w:t>Die Annahme einer innerstaatlichen Schutz­alternative im Lichte der Schutztheorie bedingt unter anderem, dass es der betroffenen Person individuell zuzumuten ist, den am Zufluchtsort erhältlichen Schutz längerfristig in Anspruch nehmen zu können. Dies hat zur Folge, dass der in einem Landesteil von Verfolgung betroffenen Person das Bestehen einer innerstaatlichen Fluchtalternative nicht entgegengehalten werden kann, wenn ihr die Niederlassung und damit die Inanspruchnahme des Schutzes am Zufluchtsort aus den in Art. 83 Abs. 4 AuG erwähnten Gründen nicht zuzumuten ist. Da sich die Sicherheitslage in Kabul besser als an den meisten anderen Orten in Afghanistan präsentiert (vgl. auch die heute noch aktuelle Rechtsprechung BVGE 2011/7), ist zu prüfen, ob der Beschwerdeführer dort wirksamen Schutz - sollte er diesen in B._______ nicht erhalten - erhältlich machen kann. Dabei ist hinsichtlich der Schutzmöglichkeit in Kabul auf das von der Vorinstanz erwähnte Urteil D-5595/2014 vom 23. März 2015 E. 5 zu verweisen, wonach in Kabul sowohl die Schutzwilligkeit als auch die Schutzfähigkeit der Behörden vor allfälligen Behelligungen seitens der Taliban zu bejahen sei.</w:t>
      </w:r>
    </w:p>
    <w:p>
      <w:r>
        <w:rPr>
          <w:b/>
        </w:rPr>
        <w:t>E. 4.4.3</w:t>
      </w:r>
    </w:p>
    <w:p>
      <w:r>
        <w:t>Dem Beschwerdeführer und seiner Familie steht mit einer Wohnsitznahme in der Millionenstadt Kabul eine valable Möglichkeit offen, allfälligen künftigen Nachstellungen seitens der pakistanischen Taliban zu entgehen. Dass er dort aufgrund seiner gutsituierten Lage keinen Schutz finden sollte, ist weder glaubhaft gemacht noch ersichtlich. Aufgrund seiner protokollierten Angaben ist ferner davon auszugehen, dass er in Kabul über ein soziales Beziehungsnetz verfügt (A26/19 S. 7, 14). Sodann ist es ihm dank seiner finanziellen Verhältnisse ohne weiteres möglich, sein Haus in Kabul auszubauen, um es für sich und seine Familie bewohnbar zu machen. Im Übrigen hätten sie bereits gelegentlich die Sommermonate sowie den Ramadan dort verbracht (A26/19 S. 13). Ferner ist aufgrund der Berufserfahrung des Beschwerdeführers in der [Branche], seinen beruflichen Kontakten - gemäss eigenen Angaben habe er regelmässig mit (...) in Kabul gearbeitet (A26/19 S. 6, 10) - sowie seinen finanziellen Verhältnissen (sein Vermögen belaufe sich derzeit auf über [eine hohe Summe] US-Dollar, vgl. A26/19 S. 11) die Zumutbarkeit der innerstaatlichen Fluchtalternative auch unter ökonomischen Gesichtspunkten zu bejahen. Schliesslich vermögen auch die Ausführungen in der Beschwerdeeingabe sowie die eingereichten Beweismittel zu keiner anderen Schlussfolgerung zu führen.</w:t>
      </w:r>
    </w:p>
    <w:p>
      <w:r>
        <w:rPr>
          <w:b/>
        </w:rPr>
        <w:t>E. 4.5</w:t>
      </w:r>
    </w:p>
    <w:p>
      <w:r>
        <w:t>Nach dem Gesagten ist es dem Beschwerdeführer nicht gelungen, eine asylrechtlich relevante Verfolgungssituation nachzuweisen beziehungsweise glaubhaft zu machen. Das SEM hat mithin zu Recht das Bestehen der Flüchtlingseigenschaft des Beschwerdeführers verneint und sein Asylgesuch abgewiesen.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BVGE 2009/50 E. 9 m.w.H.).</w:t>
      </w:r>
    </w:p>
    <w:p>
      <w:r>
        <w:rPr>
          <w:b/>
        </w:rPr>
        <w:t>E. 6.1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Afghanistan lässt den Wegweisungsvollzug zum heutigen Zeitpunkt nicht als unzulässig erscheinen. Nach dem Gesagten ist der Vollzug der Wegweisung sowohl im Sinn der asyl- als auch der völkerrechtlichen Bestimmungen zulässig.</w:t>
      </w:r>
    </w:p>
    <w:p>
      <w:r>
        <w:rPr>
          <w:b/>
        </w:rPr>
        <w:t>E. 6.4.1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Betreffend die allgemeine Lage in Afghanistan ist auf das weiterhin zutreffende Grundsatzurteil BVGE 2011/7 zu verweisen. Nach eingehender Lageanalyse stellte das Bundesverwaltungsgericht darin fest, dass die Sicherheitslage sowie die humanitären Bedingungen in weiten Teilen Afghanistans - ausser allenfalls in den Grossstädten - schlecht seien, weshalb die Situation in Afghanistan praktisch flächendeckend als existenzbedrohend im Sinn von Art. 83 Abs. 4 AuG zu qualifizieren sei. Von dieser allgemeinen Feststellung sei die Lage in der Hauptstadt Kabul zu unterscheiden. Angesichts dessen, dass dort die Sicherheitslage weniger bedrohlich als in den anderen Landesteilen sei sowie sich zumindest in letzter Zeit nicht verschlechtert habe, und dass die humanitäre Situation im Vergleich zu den übrigen Gebieten etwas weniger dramatisch sei, könne der Vollzug der Wegweisung nach Kabul unter Umständen als zumutbar qualifiziert werden. Angesichts der konstanten Verschlechterung der Lage über die vergangenen Jahre hinweg und der auch in Kabul schwierigen Situation verstehe es sich aber von selbst, dass die bereits von der vormaligen Beschwerdeinstanz in EMARK 2003 Nr. 10 formulierten strengen Bedingungen in jedem Einzelfall sorgfältig geprüft werden und erfüllt sein müssten, um die Zumutbarkeit eines Wegweisungsvollzugs nach Kabul bejahen zu können. Unabdingbar sei in erster Linie ein soziales Netz, das sich im Hinblick auf die Aufnahme und Wiedereingliederung des Rückkehrers als tragfähig erweise; denn ohne Unterstützung durch Familie oder Bekannte würden die schwierigen Lebensverhältnisse auch in Kabul unweigerlich in eine lebensbedrohende Situation führen (vgl. BVGE 2011/7 E. 9.9).</w:t>
      </w:r>
    </w:p>
    <w:p>
      <w:r>
        <w:rPr>
          <w:b/>
        </w:rPr>
        <w:t>E. 6.4.3</w:t>
      </w:r>
    </w:p>
    <w:p>
      <w:r>
        <w:t>Das SEM begründete die Zumutbarkeit des Wegweisungsvollzugs unter Hinweis auf die Rechtsprechung des Bundesverwaltungsgerichts zu Recht damit, dass ein Wegweisungsvollzug nach Kabul - auch im Sinne einer Aufenthaltsalternative - bei Vorliegen begünstigender Faktoren zumutbar sei. Wie oben bereits festgehalten wurde, sind im Falle des Beschwerdeführers begünstigende Umstände - wie soziale Vernetzung, Berufserfahrung, sehr gut finanzielle Lage sowie Obdach in Kabul - zu bejahen. Der diesbezügliche Einwand in der Beschwerde erscheint demgegenüber nicht stichhaltig. Aufgrund der Aktenlage ist schliesslich davon auszugehen, dass der Beschwerdeführer über keine relevanten Gesundheitsprobleme verfügt, welche einem Wegweisungsvollzug entgegenstehen würden; diesbezüglich kann auf die ausführlichen Erwägungen der Vorinstanz verwiesen werden. Im Rahmen einer Gesamtwürdigung der geschilderten sozialen, gesundheitlichen, wirtschaftlichen sowie die Wohnsituation betreffenden Aspekte kommt das Gericht zum Schluss, dass der Vollzug der Wegweisung des Beschwerdeführers als zumutbar zu erachten ist und zu keiner lebensbedrohenden Situation führt.</w:t>
      </w:r>
    </w:p>
    <w:p>
      <w:r>
        <w:rPr>
          <w:b/>
        </w:rPr>
        <w:t>E. 6.5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6.6</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Nachdem das Gesuch um Gewährung der unentgeltlichen Prozessführung mit Verfügung des Bundesverwaltungsgerichtes vom 9. November 2015 auf einen späteren Zeitpunkt verwiesen wurde, ist im Urteilszeitpunkt darüber zu befinden. Zwar ist fraglich, ob der Beschwerdeführer tatsächlich nicht über die nötigen finanziellen Ressourcen verfügt beziehungsweise mittelos ist; dennoch kann dies vorliegend offen bleiben, da anhand obiger Erwägungen von der Aussichtslosigkeit der Rechtsbegehren auszugehen ist. Das Gesuch um Gewährung der unentgeltlichen Prozessführung ist demnach abzulehnen und auch das Gesuch um Gewährung der unentgeltlichen Rechtsverbeiständung ist folglich abzuweisen.</w:t>
      </w:r>
    </w:p>
    <w:p>
      <w:r>
        <w:rPr>
          <w:b/>
        </w:rPr>
        <w:t>E. 8.2</w:t>
      </w:r>
    </w:p>
    <w:p>
      <w:r>
        <w:t>Bei diesem Ausgang des Verfahrens sind die Kosten von Fr. 600.-(Art. 1-3 des Reglements vom 21. Februar 2008 über die Kosten und Entschädigungen vor dem Bundesverwaltungsgericht [VGKE], SR 173.320.2) dem Beschwerdeführer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