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E-7034/2023 vom 29. Februar 2024</w:t>
      </w:r>
    </w:p>
    <w:p>
      <w:r>
        <w:t>Bundesverwaltungsgericht, 2024-02-29, DE</w:t>
      </w:r>
    </w:p>
    <w:p>
      <w:r>
        <w:rPr>
          <w:b/>
        </w:rPr>
        <w:t xml:space="preserve">Quelle: </w:t>
      </w:r>
      <w:r>
        <w:t>https://mcp.opencaselaw.ch/entscheid/bvger_E-7034_2023</w:t>
      </w:r>
    </w:p>
    <w:p>
      <w:r>
        <w:t>FR: TAF E-7034/2023 du 29 février 2024</w:t>
      </w:r>
    </w:p>
    <w:p>
      <w:r>
        <w:t>IT: TAF E-7034/2023 del 29 febbraio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Der Beschwerdeführer ersuchte mit Eingabe vom 31. August 2022 um die Wiedererwägung der SEM-Verfügung vom 30. Mai 2018 hinsichtlich des Wegweisungsvollzuges. Über dieses Gesuch hat das SEM in Form einer anfechtbaren Verfügung zu befinden. Eine solche ist bis anhin nicht ergangen. Der Beschwerdeführer ist daher zur Beschwerdeführung legitimiert.</w:t>
      </w:r>
    </w:p>
    <w:p>
      <w:r>
        <w:rPr>
          <w:b/>
        </w:rPr>
        <w:t>E. 1.3</w:t>
      </w:r>
    </w:p>
    <w:p>
      <w:r>
        <w:t>Gegen das unrechtmässige Verzögern einer Verfügung kann grundsätzlich - unter Beachtung des Grundsatzes von Treu und Glauben - jederzeit Beschwerde geführt werden (Art. 50 Abs. 2 VwVG). Die beschwerdeführende Person muss dabei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(Art. 52 Abs. 1 VwVG) Rechtsverzögerungsbeschwerde einzutreten.</w:t>
      </w:r>
    </w:p>
    <w:p>
      <w:r>
        <w:rPr>
          <w:b/>
        </w:rPr>
        <w:t>E. 1.5</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Eine Verzögerung kann sich jedoch durch ausserordentliche Umstände rechtfertigen lassen, wenn die Geschäftslast in aussergewöhnlichem und nicht vorhersehbarem Mass angestiegen ist (vgl. Urteil des BVGer D-5494/2023 vom 14. Februar 2024 E. 2.3 und E. 4, E-6376/2023 vom 21. Dezember 2023 E. 2.3 und Moser, et al., a.a.O. S. 343 Rz. 5.27). Überdies sind spezialgesetzliche Behandlungsfristen bei der Beurteilung der Angemessenheit der Verfahrensdauer zu berücksichtigen (vgl. zum Ganzen auch Urteil des BVGer E-1438/2018 vom 5. April 2018 E. 3.2 m.w.H.).</w:t>
      </w:r>
    </w:p>
    <w:p>
      <w:r>
        <w:rPr>
          <w:b/>
        </w:rPr>
        <w:t>E. 4</w:t>
      </w:r>
    </w:p>
    <w:p>
      <w:r>
        <w:t>Der Beschwerdeführer macht geltend, das Verfahren dauere seit Einreichung des Wiedererwägungsgesuchs am 31. August 2022 bereits mehr als fünfzehn (recte: dreizehn) Monate, was im Kontext eines Wiedererwägungsverfahrens aussergewöhnlich lange sei. In diversen kürzlich ergangenen Urteilen des Bundesverwaltungsgerichts seien entsprechende Beschwerden gutgeheissen worden. Die Vorinstanz könne sich in casu auch nicht auf eine hohe Arbeitsbelastung berufen, da für das Wiedererwägungsverfahren keine zusätzlichen Abklärungen angekündigt worden seien. Trotz des Schreibens vom 17. Oktober 2023, in dem die Beschleunigung des Verfahrens beantragt sowie die Einreichung einer Rechtsverzögerungsbeschwerde in Aussicht gestellt worden sei, habe die Vorinstanz keine Schritte unternommen.</w:t>
      </w:r>
    </w:p>
    <w:p>
      <w:r>
        <w:rPr>
          <w:b/>
        </w:rPr>
        <w:t>E. 5.1</w:t>
      </w:r>
    </w:p>
    <w:p>
      <w:r>
        <w:t>Gemäss den einschlägigen gesetzlichen Verfahrensfristen sind Nichteintretensentscheide in der Regel innerhalb von fünf Arbeitstagen nach Einreichung eines Wiedererwägungsgesuchs zu treffen; in den übrigen Fällen sind Entscheide in der Regel innerhalb von zehn Arbeitstagen nach Gesuchstellung zu treffen (vgl. 111b Abs. 2 AsylG). Gemäss bundesrätlicher Botschaft handelt es sich hierbei jedoch um Ordnungsfristen, die überschritten werden können, wenn erforderliche Abklärungen mehr Zeit in Anspruch nehmen oder die personellen Ressourcen des SEM nicht ausreichen (vgl. Botschaft des Bundesrates zur Änderung des Asylgesetzes vom 26. Mai 2010, BBl 2010 4455 ff., insbesondere S. 4496).</w:t>
      </w:r>
    </w:p>
    <w:p>
      <w:r>
        <w:rPr>
          <w:b/>
        </w:rPr>
        <w:t>E. 5.2</w:t>
      </w:r>
    </w:p>
    <w:p>
      <w:r>
        <w:t>Der Beschwerdeführer reichte sein Wiedererwägungsgesuch am 31. August 2022 (Eingang SEM: 1. September 2022) ein. Dieses war zum Zeitpunkt der Beschwerdeerhebung am 18. Dezember 2023 über dreizehn Monate hängig. Da allein aus dem Umstand, dass die Vorinstanz die Fristen von Art. 111b Abs. 2 AsylG vorliegend deutlich überschritten hat, keine Verletzung des Rechtsverzögerungsverbots abgeleitet werden kann, ist für die Beurteilung des vorliegenden Falles entscheidend, ob diese Verfahrensdauer als angemessen betrachtet werden kann. Vorab ist festzuhalten, dass das Bundesverwaltungsgericht Kenntnis von der nach wie vor hohen Geschäftslast des SEM sowie von den Zusatzbelastungen durch den Ukraine-Konflikt hat, der die Geschäftslast der Migrationsbehörden in erheblichem Masse erhöhte und dessen Auswirkungen - neben den aktuellen Höchstwerten an Asylgesuchen - eine zusätzliche Herausforderung für das Schweizer Asylwesen darstellt. Der Personalmangel und die Überlastung des SEM sind jedoch gemäss bundesgerichtlicher Rechtsprechung nicht geeignet, um die zögerliche Behandlung des vorliegenden Dossiers zu rechtfertigen (vgl. BGE 138 II 513 E 6.4). Auch lässt sich eine Verzögerung durch ausserordentliche Umstände nicht rechtfertigen, handelt es sich in casu doch um ein juristisch nicht komplexes Wiedererwägungsgesuch, das bereits zum Zeitpunkt der Einreichung spruchreif war. So wurde zusammen mit dem Wiedererwägungsgesuch ein ausführlicher Arztbericht ins Recht gelegt, der die fristgerechte Behandlung des Gesuchs durchaus ermöglicht hätte. Stattessen blieb die Vorinstanz (bis auf die Aussetzung des Vollzugs der Wegweisung am 6. September 2022) bis zum Zeitpunkt nach der Beschwerdeerhebung untätig. Dass sie inzwischen am 8. Februar 2024 einen aktuellen Arztbericht einforderte und das Verfahren ohne diesen nicht mehr spruchreif ist, ist auf die Verschleppung des Verfahrens seitens der Vorinstanz und nicht auf das Verhalten des Beschwerdeführers zurückzuführen. Insgesamt ist die Behandlungsdauer für das nicht komplexe Wiedererwägungsverfahren als unangemessen zu betrachten.</w:t>
      </w:r>
    </w:p>
    <w:p>
      <w:r>
        <w:rPr>
          <w:b/>
        </w:rPr>
        <w:t>E. 5.3</w:t>
      </w:r>
    </w:p>
    <w:p>
      <w:r>
        <w:t>Das Beschleunigungsgebot von Art. 29 Abs. 1 BV ist somit verletzt. Die Rüge der Rechtsverzögerung erweist sich als begründet.</w:t>
      </w:r>
    </w:p>
    <w:p>
      <w:r>
        <w:rPr>
          <w:b/>
        </w:rPr>
        <w:t>E. 6</w:t>
      </w:r>
    </w:p>
    <w:p>
      <w:r>
        <w:t>Nach dem Gesagten ist die Beschwerde gutzuheissen. Die Akten gehen an die Vorinstanz zurück, verbunden mit der Anweisung, das Wiedererwägungsgesuch nach Eingang des aktuellen Arztberichts beförderlich zu behandeln und rasch einer Verfügung zuzuführen.</w:t>
      </w:r>
    </w:p>
    <w:p>
      <w:r>
        <w:rPr>
          <w:b/>
        </w:rPr>
        <w:t>E. 7.1</w:t>
      </w:r>
    </w:p>
    <w:p>
      <w:r>
        <w:t>Bei diesem Ausgang des Verfahrens sind keine Kosten zu erheben (Art. 63 Abs. 1 und 2 VwVG). Das Gesuch um Gewährung der unentgeltlichen Prozessführung und der Antrag auf Verzicht der Erhebung eines Kostenvorschusses werden mit dem vorliegenden Urteil gegenstandslos.</w:t>
      </w:r>
    </w:p>
    <w:p>
      <w:r>
        <w:rPr>
          <w:b/>
        </w:rPr>
        <w:t>E. 7.2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Da keine Kostennote eingereicht wurde, ist die Parteientschädigung auf Grund der Akten festzulegen (Art. 14 Abs. 2 in fine VGKE). Gestützt auf Art. 9-13 VGKE ist dem Beschwerdeführer zulasten der Vorinstanz eine Parteientschädigung von insgesamt Fr. 400.-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