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E-7029/2018 vom 25. November 2020</w:t>
      </w:r>
    </w:p>
    <w:p>
      <w:r>
        <w:t>Bundesverwaltungsgericht, 2020-11-25, DE</w:t>
      </w:r>
    </w:p>
    <w:p>
      <w:r>
        <w:rPr>
          <w:b/>
        </w:rPr>
        <w:t xml:space="preserve">Quelle: </w:t>
      </w:r>
      <w:r>
        <w:t>https://mcp.opencaselaw.ch/entscheid/bvger_E-7029_2018</w:t>
      </w:r>
    </w:p>
    <w:p>
      <w:r>
        <w:t>FR: TAF E-7029/2018 du 25 novembre 2020</w:t>
      </w:r>
    </w:p>
    <w:p>
      <w:r>
        <w:t>IT: TAF E-7029/2018 del 25 novembre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Beschwerdeführerin hielten weder den Anforderungen an das Glaubhaftmachen gemäss Art. 7 AsylG noch denjenigen an die Flüchtlingseigenschaft nach Art. 3 AsylG stand. Zur Begründung führt die Vorinstanz aus, die Angaben der Beschwerdeführerin zur Einberufung in den Nationaldienst anlässlich der BzP und der Anhörung würden voneinander abweichen. Namentlich seien anlässlich der BzP zentrale Sachverhaltselemente wie die Festnahme der Mutter sowie die behördlichen Schreiben unerwähnt geblieben und die Gründe für die Ausreise unterschiedlich dargestellt worden. Insgesamt seien die diesbezüglichen Vorbringen unglaubhaft ausgefallen. Sodann sei die Furcht vor einem möglichen Einzug in den Nationaldienst sowie möglicher Bestrafung wegen Refraktion und Desertion für sich genommen nicht flüchtlingsrechtlich relevant. Gleiches treffe auf mögliche Sanktionen im Zusammenhang mit der geltend gemachten illegalen Ausreise sowie den allgemeinen Vorbringen zur Lebenssituation in Eritrea zu. Schliesslich seien auch keine andere Gründe ersichtlich, welche die Beschwerdeführerin in den Augen der eritreischen Behörden als missliebige Person erscheinen lassen könnten.</w:t>
      </w:r>
    </w:p>
    <w:p>
      <w:r>
        <w:rPr>
          <w:b/>
        </w:rPr>
        <w:t>E. 7</w:t>
      </w:r>
    </w:p>
    <w:p>
      <w:r>
        <w:t>In der Rechtsmitteleingabe macht die Beschwerdeführerin vorab geltend, die Ausführungen der Vorinstanz seien insofern doppeldeutig, als im Asylpunkt die Möglichkeit eines Einzugs in den Nationaldienst grundsätzlich bejaht werde, im Wegweisungspunkt jedoch nicht. Ferner habe sich die Vorinstanz in ihrem Entscheid diesbezüglich nicht mit der aktuellen Rechtsprechung des Bundesverwaltungsgerichts auseinandergesetzt. Der Entscheid sei deshalb an die Vorinstanz zurückzuweisen und diese anzuhalten, ihren Erwägungen die Tatsache zugrundezulegen, dass sie in den Nationaldienst eingezogen werde. Mit Blick auf die Rechtsprechung des Bundesverwaltungsgerichts sei ferner zu berücksichtigen, dass sie als weibliche Dienstpflichtige - im Vergleich zu männlichen Dienstleistenden - einem erheblich höheren Risiko ausgesetzt sei, während ihres Dienstes Opfer von Übergriffen zu werden. Dies deshalb, da sie sowohl Misshandlungen als auch sexuelle Übergriffe erleiden könnte, während Männer gemäss Rechtsprechung nur Misshandlungen erfahren würden. Insbesondere seien dienstpflichtige weibliche Personen eritreischer Nationalität als verfolgte soziale Gruppe zu qualifizieren.</w:t>
      </w:r>
    </w:p>
    <w:p>
      <w:r>
        <w:rPr>
          <w:b/>
        </w:rPr>
        <w:t>E. 8.1</w:t>
      </w:r>
    </w:p>
    <w:p>
      <w:r>
        <w:t>Die Vorinstanz hat bereits eingehend dargelegt, dass die Vorbringen der Beschwerdeführerin betreffend ihr Aufgebot zum Nationaldienst, die Behelligung der Mutter durch die Behörden und die Gründe ihrer Ausreise widersprüchlich und insgesamt nicht glaubhaft ausgefallen seien. In der Rechtsmitteleingabe werden die Vorbringen zwar teilweise wiederholt, es wird aber nichts vorgebracht, was die Einschätzung der Vorinstanz entkräften könnte. Das Gericht schliesst sich diesbezüglich der Auffassung der Vorinstanz an und es kann - um Wiederholungen zu vermeiden - auf deren zutreffende Ausführungen verwiesen werden.</w:t>
      </w:r>
    </w:p>
    <w:p>
      <w:r>
        <w:rPr>
          <w:b/>
        </w:rPr>
        <w:t>E. 8.2</w:t>
      </w:r>
    </w:p>
    <w:p>
      <w:r>
        <w:t>Sodann hat die Vorinstanz bereits zutreffend ausgeführt, dass weder eine allfällige illegale Ausreise (vgl. Referenzurteil des BVGer D-7898/2015 vom 30. Januar 2017 E. 5) noch ein möglicher Einzug in den eritreischen Nationaldienst (vgl. Referenzurteil des BVGer D-2311/2016 vom 17. August 2017 E. 13.2 sowie E. 13.4 u.a. mit Hinweis auf die Möglichkeit der Regelung des Diasporastatus) für sich genommen eine flüchtlingsrechtliche Relevanz zu entfalten vermögen. Ferner wurde - in Anbetracht der unglaubhaften Vorbringen der Beschwerdeführerin (vgl. E. 8.1) - zutreffend festgehalten, es bestünden keine Anzeichen dafür, die Beschwerdeführerin habe Kontakt mit den heimatlichen Behörden gehabt oder erscheine in deren Augen als missliebige Person. Soweit die Beschwerdeführerin vorbringt, dienstpflichtige eritreische Staatsbürgerinnen würden eine bestimmte soziale Gruppe darstellen, ist festzuhalten, dass insbesondere bereits aufgrund der allgemein geltenden Dienstpflicht im Heimatland das Merkmal der "Dienstpflicht" nicht als prägend für die Identität der betroffenen Personen zu bezeichnen ist (vgl. als weitere Beispiele die Urteile des BVGer D-6272/2012 vom 6. März 2013 S. 10, E-7192/2006 vom 12. Februar 2007 E. 4.5 sowie Entscheidungen und Mitteilungen der vormaligen Schweizerischen Asylrekurskommission [EMARK] 2006/32 E. 8.7.1). Auf das Vorbringen ist somit nicht weiter einzugehen.</w:t>
      </w:r>
    </w:p>
    <w:p>
      <w:r>
        <w:rPr>
          <w:b/>
        </w:rPr>
        <w:t>E. 8.3</w:t>
      </w:r>
    </w:p>
    <w:p>
      <w:r>
        <w:t>Aufgrund des Ausgeführten ist festzuhalten, dass die Vorinstanz die Flüchtlingseigenschaft der Beschwerdeführerin zu Recht verneint und ihr Asylgesuch abgelehnt hat.</w:t>
      </w:r>
    </w:p>
    <w:p>
      <w:r>
        <w:rPr>
          <w:b/>
        </w:rPr>
        <w:t>E. 9.1</w:t>
      </w:r>
    </w:p>
    <w:p>
      <w:r>
        <w:t>Lehnt das Staatssekretariat das Asylgesuch ab oder tritt es darauf nicht ein, so verfügt es in der Regel die Wegweisung aus der Schweiz und ordnet den Vollzug an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die Beschwerdeführerin eine konkrete Gefahr ("real risk") nachweisen oder glaubhaft machen, dass sie im Falle einer Rückschiebung in ihren Heimatstaat Folter oder unmenschliche Behandlung drohen würde. Art. 4 EMRK statuiert zudem das Verbot der Sklaverei und der Zwangsarbeit.</w:t>
      </w:r>
    </w:p>
    <w:p>
      <w:r>
        <w:rPr>
          <w:b/>
        </w:rPr>
        <w:t>E. 10.2.2</w:t>
      </w:r>
    </w:p>
    <w:p>
      <w:r>
        <w:t>Die Frage der Zulässigkeit des Wegweisungsvollzugs bei anstehender Einziehung in den eritreischen Nationaldienst ist vom Bundesverwaltungsgericht im Grundsatzurteil BVGE 2018 VI/4 geklärt worden.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die Bemessung der Dienstdauer und die Gewährung von Urlauben im eritreischen Nationaldienst seien für die Einzelperson kaum vorhersehbar.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es komme im eritreischen Nationaldienst - insbesondere in der Grundausbildung und im militärischen Nationaldienst - zu Misshandlungen und sexuellen Übergriffen (vgl.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(vgl. a.a.O., E. 6.1.5.2). Gemäss Praxis des EGMR müsste die Beschwerdeführerin mit Blick auf Art. 3 EMRK das ernsthafte Risiko ("real risk") nachweisen, dass ihr im Fall einer Rückschiebung Folter oder unmenschliche Behandlung drohen würde (vgl. EGMR [Grosse Kammer], Saadi gegen Italien, Urteil vom 28. Februar 2008, Nr. 37201/06, §§ 124-127 m.w.H.). Im Grundsatzurteil BVGE 2018 VI/4 führte das Bundesverwaltungsgericht diesbezüglich aus, es würden keine hinreichenden Belege dafür existieren, Misshandlungen und sexuelle Übergriffe im Nationaldienst fänden derart flächendeckend statt,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10.2.3</w:t>
      </w:r>
    </w:p>
    <w:p>
      <w:r>
        <w:t>Die Beschwerdeführerin bringt in diesem Zusammenhang vor, sie sei im Gegensatz zu dienstleistenden Männern einem hohen Risiko ausgesetzt, Übergriffe zu erleiden, da sie einerseits Opfer von Misshandlung und andererseits Opfer von sexuellen Übergriffen werden könne. Gemäss dem zitierten Grundsatzurteil könnten Männer dagegen nur Opfer von Misshandlungen werden. Dazu ist festzuhalten, dass gemäss BVGE 2018 VI/4 weder von einer hohen Wahrscheinlichkeit von Misshandlungen noch von einer hohen Wahrscheinlichkeit von sexuellen Übergriffen gegenüber weiblichen Dienstleistenden auszugehen ist (vgl. a.a.O. E. 6.1.5.2). Der Argumentation, die Beschwerdeführerin sei als Frau stärker gefährdet, da sie sowohl Opfer von Misshandlungen als auch Opfer von sexuellen Übergriffen werden könne, wäre bei einer rein grammatikalischen Lesart einiger Stellen des zitierten Grundsatzurteils eine gewisse Logik nicht vollständig abzusprechen. Abgesehen davon, dass sie alleine aufgrund dieser theoretischen Überlegung die ernsthafte beziehungsweise hohe Gefahr einer Misshandlung oder eines Missbrauchs im Rahmen der sie treffenden Beweisfolgelast (vgl. E. 10.1 vorstehend) nicht glaubhaft zu machen vermag, überzeugt das Vorbringen aber auch vor dem Hintergrund des zitierten Grundsatzurteils nicht. Wäre alleine aufgrund der Tatsache, dass Frauen in beide "Übergriffskategorien" fallen können, von einer entsprechend hohen Wahrscheinlichkeit, Opfer von Misshandlung oder sexuellen Übergriffen zu werden, auszugehen, hätte das Gericht die flagrante Verletzung des Zwangsarbeitsverbots bei weiblichen Nationaldienstleistenden per se bejahen müssen (vgl. a.a.O. E. 6.1.5.2 erster Abschnitt). Es hat diese jedoch für beide Geschlechter verneint. Zudem werden die Begriffe Misshandlung und sexueller Übergriff im Urteil nicht durchgehend in einem streng geschlechtsspezifischen Sinne unterschieden (vgl. a.a.O. E. 6.1.6. wo sich das Wort "Übergriff" sowohl auf sexuelle Übergriffe als auch auf Misshandlungen bezieht und damit beide Geschlechter gemeint sind). Aufgrund des Ausgeführten ist nicht davon auszugehen, die Beschwerdeführerin sei einem ernsthaften beziehungsweise hohen Risiko ausgesetzt, im Falle eines Einzuges in den Nationaldienst Opfer von Misshandlungen oder sexuellen Übergriffen zu werden. Den Akten sind sodann keine weiteren völkerrechtlichen Wegweisungsvollzugshindernisse zu entnehmen.</w:t>
      </w:r>
    </w:p>
    <w:p>
      <w:r>
        <w:rPr>
          <w:b/>
        </w:rPr>
        <w:t>E. 10.2.4</w:t>
      </w:r>
    </w:p>
    <w:p>
      <w:r>
        <w:t>Selbst wenn die Beschwerdeführerin - mit Blick auf die Begründung der Vorinstanz - in den vorstehenden Ausführungen zur Zulässigkeit des Wegweisungsvollzuges zu Recht eine Motivsubstitution erblicken sollte, ist ergänzend festzuhalten, dass eine darauf gestützte Rückweisung vorliegend einem formalistischen Leerlauf gleichkommen würde. Dies insbesondere deshalb, da sich die Rechtsmitteleingabe eingehend zur einschlägigen Rechtsprechung äussert (und in diesem Sinne das Ergebnis einer allfälligen Rückweisung bereits vorwegnimmt). Insoweit besteht keine Veranlassung, die Sache zur neuen Begründung an die Vorinstanz zurückzuweisen.</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Im Zuge der Spannungen zwischen dem Nachbarstaat Äthiopien und seiner abtrünnigen Provinz Tigray kam es gemäss offiziellen Quellen vor wenigen Tagen im Umland der eritreischen Hauptstadt Asmara zu einem Raketenbeschuss durch Tigray-Rebellen. Dabei soll auch der Flughafen von Asmara Ziel der Attacken gewesen sein. Ferner soll es nach Aussagen der Tigray-Streitkräfte zu Gefechten mit der eritreischen Armee an der eritreisch-äthiopischen Grenze gekommen sein. Die eritreische Regierung hat eine Beteiligung am Konflikt dagegen bisher verneint (vgl. Aljazeera, Ethiopia: Tigray leader confirms bombing Eritrean capital, 15.11.2020, https://www.aljazeera.com/news/2020/11/15/rockets-fired-from-ethiopias-tigray-region-hit-eritrean-capital; BBC News/Ethiopia Tigray crisis: Rockets hit outskirts of Eritrea Capital, 15.11.2020, https:// www. bbc.com/news/world-africa-54942546; alle abgerufen am 19.11.2020). Dass sich die Aggressionen auf dem eritreischen Gebiet weiter ausgebreitet hätten, ist nicht bekannt beziehungsweise liegen hierfür keine Indizien vor. Auch wenn zum gegenwärtigen Zeitpunkt nicht mit Sicherheit abgeschätzt werden kann, wie sich der Konflikt rund um die äthiopische Provinz Tigray auf die Nachbarregionen auswirken wird, kann aufgrund der vorliegenden Fakten nicht von einer Kriegssituation beziehungsweise einer Situation allgemeiner Gewalt in Eritrea gesprochen werden.</w:t>
      </w:r>
    </w:p>
    <w:p>
      <w:r>
        <w:rPr>
          <w:b/>
        </w:rPr>
        <w:t>E. 10.3.2</w:t>
      </w:r>
    </w:p>
    <w:p>
      <w:r>
        <w:t>Im Referenzurteil D-2311/2016 vom 17. August 2017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Urteil D-2311/2016 E. 17.2).</w:t>
      </w:r>
    </w:p>
    <w:p>
      <w:r>
        <w:rPr>
          <w:b/>
        </w:rPr>
        <w:t>E. 10.3.3</w:t>
      </w:r>
    </w:p>
    <w:p>
      <w:r>
        <w:t>Bei der Beschwerdeführerin handelt es sich um eine junge und gesunde Frau. In ihrem Heimatland leben ihre Eltern, vier Halbgeschwister, ein Onkel und zwei Tanten. Aufgrund ihrer Schilderungen ist ferner zu vermuten, dass noch zwei weitere Verwandte in ihrem Heimatland leben (vgl. SEM-Akten A16/15 F41). Auch wenn sich die Beschwerdeführerin längere Zeit im Ausland aufgehalten hat, dürfte es ihr mit den ihr zumutbaren Anstrengungen sowie der Unterstützung ihres Umfeldes voraussichtlich gelingen, sich in sozialer und wirtschaftlicher Hinsicht in ihrem Heimatland wieder zu integrieren. Der Wegweisungsvollzug erweist sich somit auch in individueller Hinsicht als zumutbar.</w:t>
      </w:r>
    </w:p>
    <w:p>
      <w:r>
        <w:rPr>
          <w:b/>
        </w:rPr>
        <w:t>E. 10.3.4</w:t>
      </w:r>
    </w:p>
    <w:p>
      <w:r>
        <w:t>Aufgrund des unter E. 8.2 Ausgeführten ist auf die von der Beschwerdeführerin unter dem Titel der Zumutbarkeit des Wegweisungsvollzuges gemachten Vorbringen zur Zugehörigkeit zu einer bestimmten sozialen Gruppe nicht mehr näher einzugehen.</w:t>
      </w:r>
    </w:p>
    <w:p>
      <w:r>
        <w:rPr>
          <w:b/>
        </w:rPr>
        <w:t>E. 10.4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Verfahrenskosten der Beschwerdeführerin aufzuerlegen (Art. 63 Abs. 1 VwVG) und auf Fr. 750.- festzusetzen (Art. 1-3 des Reglements vom 21. Februar 2008 über die Kosten und Entschädigungen vor dem Bundesverwaltungsgericht [VGKE; SR 173.320.2]). Der am 21. Januar 2019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