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E-7011/2014 vom 14. November 2016</w:t>
      </w:r>
    </w:p>
    <w:p>
      <w:r>
        <w:t>Bundesverwaltungsgericht, 2016-11-14, DE</w:t>
      </w:r>
    </w:p>
    <w:p>
      <w:r>
        <w:rPr>
          <w:b/>
        </w:rPr>
        <w:t xml:space="preserve">Quelle: </w:t>
      </w:r>
      <w:r>
        <w:t>https://mcp.opencaselaw.ch/entscheid/bvger_E-7011_2014</w:t>
      </w:r>
    </w:p>
    <w:p>
      <w:r>
        <w:t>FR: TAF E-7011/2014 du 14 novembre 2016</w:t>
      </w:r>
    </w:p>
    <w:p>
      <w:r>
        <w:t>IT: TAF E-7011/2014 del 14 novembre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 26 E. 5).</w:t>
      </w:r>
    </w:p>
    <w:p>
      <w:r>
        <w:rPr>
          <w:b/>
        </w:rPr>
        <w:t>E. 3.1</w:t>
      </w:r>
    </w:p>
    <w:p>
      <w:r>
        <w:t>Die Beschwerdeführenden brachten zu Protokoll, dass der Beschwerdeführer sich seit dem Jahr 1986 mit der kurdischen Sprache und Politik auseinandersetze. Seit dem Jahr 2000 sei er Mitglied der Partei Al-Parti (PDK-S) und habe als (...) von N._______ an regelmässigen Sitzungen teilgenommen. In dieser Funktion habe er auch eine Organisation (...) gegründet und Kurse über die kurdische Grammatik und Sprache gegeben (A4 S. 8; A14 F. 54 ff.; A16 F. 7, 13, 30, 96 ff. und 122). Im Jahr 2004 habe er sich - während den Unruhen in N._______ - an Demonstrationen beteiligt; indes sei er nicht festgenommen worden (A16 F. 30 und 115 ff.). Der nationale Sicherheitsdienst sei während des Newroz-Festes im Jahr 2011 zu ihm nach Hause gekommen und habe ihn wegen seiner schriftstellerischen Tätigkeit befragt; dabei hätten sie ihn gewarnt, er solle nicht mit dem Feuer spielen (A4 S. 8; A14 F. 14 und 64 ff.; A16 F. 30 und 57 ff.). Danach sei bis auf Weiteres nichts Konkretes mehr geschehen (A14 F. 68 und 57 ff.; A16 F. 63 f. und 114). Jedoch habe er regelmässig an Demonstrationen gegen das Assad-Regime teilgenommen (A14 F. 21 ff. und 97 ff.; A16 F. 60 und 100 f.). Am (...) 2013 (A14 F. 15 f.) sei auf den Beschwerdeführer - als er abends vom Parteibüro nach Hause habe gehen wollen - zweimal geschossen worden (A4 S. 7; A5 S. 7; A14 F. 60 ff.; A16 F. 30); ähnlich sei dies auch einem Sohn eines Freundes ergangen (A14 F. 63; A16 F. 69 ff.). Die Täter seien ihm nach den Schüssen gefolgt, doch der Beschwerdeführer habe sich in einer Gruppe von Männern einer vorbeiziehenden Trauergemeinschaft verstecken können (A14 F. 61; A14 F. 60 ff.; A16 F. 30 und 69 ff.). Seiner Ehefrau habe er davon erst zwei Tage später, nachdem sie nachgefragt habe, erzählt (A14 F. 14 und 59; A16 F. 78 f.). Der Beschwerdeführer umschrieb die Täter als kurdisch sprechend und geht davon aus, dass es sich dabei um Mitglieder der PYD (Partiya Yekitîya Demokrat, Partei der Demokratischen Union) handle, welche für den syrischen Geheimdienst arbeiten würden (A4 S. 8; A16 F. 65 ff. und 74); die Ehefrau vermute jedoch, dass die Militärsicherheit dahinter stecke (A14 F. 58 und 62 f.). Dieser Vorfall sei nie der Polizei gemeldet worden (A4 S. 9). Wenig später - in der Nacht des (...) 2014 (A4 S. 7; A5 S. 7; A14 F. 16) - habe die Beschwerdeführerin, als ihr Ehemann geschlafen habe, Geräusche auf dem Dach bemerkt (A4 S. 7 f.; A5 S. 7; A14 F. 14 und 76 ff.; A16 F. 30 und 80 ff.). Jemand habe sich vermutlich am (...) zu schaffen gemacht; wie sie später entdeckt hätten, sei dieses zerstört gewesen. Da sie keine Waffen gehabt hätten, hätten sie sich nicht aus dem Haus getraut. Sie hätten dann aber Freunde telefonisch um Hilfe gebeten, welche sodann zu ihnen nach Hause gekommen seien. Die Menschen auf dem Dach seien daraufhin geflohen. Die Beschwerdeführenden hätten befürchtet, dass eine Bombe auf dem Dach deponiert worden sei oder dass die Täter beabsichtigt hätten, etwas Ähnliches durch das (...) fallen zu lassen. Als Täter kämen wiederum die PYD beziehungsweise die Militärsicherheit in Frage (A14 F. 77; A16 F. 86). Der Beschwerdeführer schreibe und publiziere nach seiner Ausreise aus Syrien weiterhin über die Sache der Kurden (A16 F. 52 ff.).</w:t>
      </w:r>
    </w:p>
    <w:p>
      <w:r>
        <w:rPr>
          <w:b/>
        </w:rPr>
        <w:t>E. 3.2</w:t>
      </w:r>
    </w:p>
    <w:p>
      <w:r>
        <w:t>Das SEM hielt in seiner negativen Verfügung fest, dass die geschilderten Vorfälle nicht glaubhaft (Art. 7 AsylG) seien und lediglich auf Vermutungen beruhen würden. Die Beschwerdeführenden hätten die Fragen nach den Tätern und des Grundes der versuchten Anschläge vom (...) 2013 und (...) 2014 nicht klar beantworten können. Auch fehle es bei beiden Vorkommnissen an einem Verfolgungsmotiv (Art. 3 AsylG). Im Übrigen sei kein Zusammenhang zwischen den Warnungen von 2011 und den späteren Ereignissen erkennbar. Zwar habe der Beschwerdeführer glaubhaft vorgebracht, so das SEM weiter, dass er kurdischer Schriftsteller und Mitglied der Partei PDK-S beziehungsweise Al-Parti sei. Die einmalige Verwarnung aus dem Jahr 2011, welche er aufgrund seiner politischen Aktivitäten erfahren habe, vermöge jedoch die verlangte Intensität einer Verfolgung nicht zu erfüllen (Art. 3 AsylG). Auch fehle es diesbezüglich an einem zeitlichen Kausalzusammenhang, was im Übrigen auch für seine Beteiligung an den Aufständen des Jahres 2004 gelte (Art. 3 AsylG). Ferner genüge die Teilnahme an politischen Demonstrationen nicht, wenn keine anschliessende Verfolgung glaubhaft gemacht werden könne (Art. 3 AsylG). Auch würden die Beschwerdeführenden aufgrund ihres früheren Status als Staatenlose in Syrien keine Flüchtlingseigenschaft zu begründen vermögen (Art. 3 AsylG).</w:t>
      </w:r>
    </w:p>
    <w:p>
      <w:r>
        <w:rPr>
          <w:b/>
        </w:rPr>
        <w:t>E. 3.3</w:t>
      </w:r>
    </w:p>
    <w:p>
      <w:r>
        <w:t>In der Beschwerdeschrift vom 1. Dezember 2014 wurde zunächst dagegen gehalten, dass die Kontakte der Beschwerdeführenden zu Personen in der Schweiz das Risiko einer Reflexverfolgung bergen würden, was das SEM nicht untersucht habe. Die Vorinstanz habe bezüglich den Anforderungen an die Glaubhaftigkeit übertriebene Forderungen gestellt. Die Beschwerdeführenden hätten die Vorbringen äusserst authentisch mit Bezug auf ihre Gefühlslage geschildert. Es erscheine logisch, dass sie keine konkreten Angaben zur jeweiligen Täterschaft hätten machen können, da diese maskiert oder - wie beim Vorfall auf dem Dach - unbekannt gewesen seien. Die Mutmassungen, die Täter würden aus dem Umkreis der PYD beziehungsweise des syrischen Staates stammen, seien nicht widersprüchlich, da diese teilweise miteinander verbunden seien, wie Berichte aufzeigen würden. Der Beschwerdeführer biete ferner als kritischer Schriftsteller und Mitglied einer anderen kurdischen Partei genügend Angriffsfläche. Zudem sei es den Beschwerdeführenden anzurechnen, dass sie - z.B. bei dem Vorfall vom (...) 2014 - von Fakten berichten (z.B. dass sie das (...) am nächsten Morgen kaputt aufgefunden hätten) und dann erst ihre Schlüsse ziehen würden.</w:t>
      </w:r>
    </w:p>
    <w:p>
      <w:r>
        <w:rPr>
          <w:b/>
        </w:rPr>
        <w:t>E. 3.4</w:t>
      </w:r>
    </w:p>
    <w:p>
      <w:r>
        <w:t>In seiner Vernehmlassung vom 20. Mai 2016 nahm das SEM Stellung zur Kopie des Marschbefehls, welche am 29. April 2015 eingereicht wurde (das Original wurde mit der Replik vom 7. Juni 2016 zu den Akten gereicht), sowie zur exilpolitischen Tätigkeit des Beschwerdeführers.</w:t>
      </w:r>
    </w:p>
    <w:p>
      <w:r>
        <w:rPr>
          <w:b/>
        </w:rPr>
        <w:t>E. 3.5</w:t>
      </w:r>
    </w:p>
    <w:p>
      <w:r>
        <w:t>In der Replik vom 7. Juni 2016 verwiesen die Beschwerdeführenden auf den originalen Marschbefehl sowie auf die aktuellen exilpolitischen Aktivitäten des Beschwerdeführers.</w:t>
      </w:r>
    </w:p>
    <w:p>
      <w:r>
        <w:rPr>
          <w:b/>
        </w:rPr>
        <w:t>E. 4</w:t>
      </w:r>
    </w:p>
    <w:p>
      <w:r>
        <w:t>Vorweg ist die implizite Rüge der unvollständigen Sachverhaltsfeststellung zu prüfen, da ein allenfalls ungenügend abgeklärter Sachverhalt eine materielle Behandlung verunmöglichen würde. Das SEM habe es unterlassen, eine mögliche Reflexverfolgung zu untersuchen, welche die Beschwerdeführenden aufgrund ihrer Kontakte zu syrischen Flüchtlingen in der Schweiz befürchten würden. Diese Rüge wurde nicht weiter begründet. Es gilt jedoch festzuhalten, dass sich die verfügende Behörde nicht ausdrücklich mit jeder tatbeständlichen Behauptung auseinandersetzen muss, sondern sich auf die wesentlichen Gesichtspunkte beschränken darf (vgl. BGE 126 I 97 E. 2b). Es ist keine Verletzung der Untersuchungspflicht der Vor-instanz zu erkennen, weshalb dieses Begehren als unbegründet abzuweisen ist, zumal es in casu erst auf Beschwerdestufe ins Feld geführt wurde.</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Unbestritten ist vorliegend, dass der Beschwerdeführer ein regimekritischer kurdischer Schriftsteller ist und sich schon seit langem für die Sache der Kurden politisch engagiert. Hingegen sei es unglaubhaft, so die Vorinstanz, dass die Beschwerdeführenden vor ihrer Ausreise aus Syrien verfolgt worden seien. Dieser Ansicht kann - wie nachfolgend dargelegt wird - nicht gefolgt werden.</w:t>
      </w:r>
    </w:p>
    <w:p>
      <w:r>
        <w:rPr>
          <w:b/>
        </w:rPr>
        <w:t>E. 6.2</w:t>
      </w:r>
    </w:p>
    <w:p>
      <w:r>
        <w:t>Grundsätzlich sind die Vorbringen einer asylsuchenden Person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einer um Asyl nachsuchenden Person. Entscheidend ist, ob im Rahmen einer Gesamtwürdigung die Gründe, die für die Richtigkeit der Sachverhaltsdarstellung der asylsuchenden Person sprechen, überwiegen oder nicht. Dabei ist auf eine objektivierte Sichtweise abzustellen (vgl. BVGE 2013/11 E. 5.1; 2010/57 E. 2.3).</w:t>
      </w:r>
    </w:p>
    <w:p>
      <w:r>
        <w:rPr>
          <w:b/>
        </w:rPr>
        <w:t>E. 6.2.1</w:t>
      </w:r>
    </w:p>
    <w:p>
      <w:r>
        <w:t>Die Aussagen der Beschwerdeführenden erscheinen als plausibel, substantiiert und nachvollziehbar. Der Beschwerdeführer ist seit Jahren für die kurdische Sache politisch aktiv in Parteien und verschiedenen Kommissionen und setzt sich für die Kultur seines Volkes ein. Seine Partei PDK-S wurde 1957 mit dem Ziel der Anerkennung kultureller Rechte und Gleichberechtigung der Volksgruppen der Kurden gegründet. Sie steht der nordirakischen Demokratischen Partei Kurdistans (DPK) nahe. In den 1980er und 1990er Jahren wurde die PKK (Partiya Karkerên Kurdistanê, Arbeiterpartei Kurdistans) durch die syrische Regierung unterstützt; diese Unterstützung wurde im Jahr 1998 auf Druck der Türkei beendet und die PKK zog sich in den Nordirak zurück. Auch ihr Vorsitzender Abdullah Öcalan musste Syrien in diesem Jahr verlassen. Es gab jedoch immer wieder Gerüchte, dass trotz des offiziellen Bruches zwischen der PKK beziehungsweise der im Jahr 2003 gegründeten PYD (sowie ihrem bewaffneten Arm YPG [Yekîneyên Parastina Gel, Volksverteidigungseinheiten] und der Asyî [Polizei bzw. Inlandgeheimdienst]) und dem syrischen Regime Verbindungen bestehen (vgl. Alexandra Geiser, Syrien: PKK- und PYD-Aktivitäten, Schweizerische Flüchtlingshilfe SFH [Hrsg.], 2008, S. 2 und 6, je m.w.H.; "Das Krisenzentrum des syrischen Regimes hat der PKK Anweisungen zum Mord an kurdischen Politikern erteilt, und die PKK hat sie ausgeführt", Interview mit Mahmud an-Nasri, ehemaliger syrischer Geheimdienstoffizier, Mai 2014 [vgl. http://kurdwatch.org/?d3117, besucht am 19. September 2016). Das Portal "Kurdwatch" machte in den letzten Jahren immer wieder auf verschiedene Fälle von Menschenrechtsverletzungen aufmerksam (so haben z.B. am 3. April 2015 Mitarbeiter der Asyî ein Mitglied des lokalen Komitees der PDK-S entführt; vgl. http://www.kurdwatch.org/?aid=3424&amp;z=de, besucht am 19. September 2016). Aufgrund dieser Erkenntnisse erscheinen die Aussagen der Beschwerdeführenden, als Täter des Übergriffs vom Dezember 2013 kämen Mitglieder der PYD beziehungsweise syrische Sicherheitskräfte in Frage, nicht widersprüchlich. Auch ergibt sich daraus, dass zwischen den verschiedenen kurdischen Gruppierungen eine gewisse Rivalität besteht. In diesem Sinne sind denn auch die erwähnten Beispiele des Sohnes eines Freundes sowie des bekannten kurdischen Politikers Maschaal Tammo (A16 F. 69 ff.), bei dessen Ermordung eine Involvierung der PYD nicht auszuschliessen ist (vgl. "Sie haben gesagt, sie und elf andere kurdische Parteien würden Misch al at-Tammu liquidieren", Interview mit der Augenzeugin Zahida Raschkilo, Juni 2012 [vgl. http://www.kurdwatch.org/syria_article.php?aid=2558&amp;z-=de, besucht am 26. September 2016]), zu verstehen.</w:t>
      </w:r>
    </w:p>
    <w:p>
      <w:r>
        <w:rPr>
          <w:b/>
        </w:rPr>
        <w:t>E. 6.2.2</w:t>
      </w:r>
    </w:p>
    <w:p>
      <w:r>
        <w:t>Das SEM hat des Weiteren festgestellt, dass auch die Aussagen bezüglich des versuchten Übergriffs vom Januar 2014 unsubstantiiert und realitätsfremd seien. Auch hier erscheint bezüglich der Täterschaft die Vermutung des Beschwerdeführers nicht abwegig, dass es sich dabei um dieselbe handelt, die bereits beim versuchten Attentat einen Monat zuvor aktiv war. Wie bereits erwähnt (vgl. E. 6.2.1), muss dies kein Widerspruch zur Aussage der Ehefrau sein, die von einem Angriff syrischer Sicherheitsbeamten ausging. Dass die Benennung der Täter nur eine Vermutung der Beschwerdeführenden ist, ist darauf zurückzuführen, dass sie diese nicht gesehen, sondern nur auf dem Dach gehört haben. Die Schilderungen diese Nacht vom (...) 2014 betreffend - gegen Mitternacht, als die Beschwerdeführerin ihre (...) Tochter gestillt habe, hätten sie Menschen auf dem Dach gehört, welche sich am (...) zu schaffen gemacht hätten (A14 F. 14 und 76 ff; A16 F. 30 und 80 ff.) - wirken in sich stimmig und detailreich. Glaubhaft ist somit, dass die Beschwerdeführenden sich nach zwei aufeinanderfolgenden Übergriffen bedroht fühlten, so dass sie beschlossen, mit ihren Kindern aus Syrien auszureisen, zumal bereits im Jahr 2011 von Sicherheitskräften Drohungen ausgesprochen worden seien. Dass sie nicht sofort in die Türkei ausgereist sind, liegt daran, dass sie eigentlich in den Nordirak wollten, diese Grenze jedoch versperrt gewesen sei (A14 F. 16; A16 F. 94 f.).</w:t>
      </w:r>
    </w:p>
    <w:p>
      <w:r>
        <w:rPr>
          <w:b/>
        </w:rPr>
        <w:t>E. 6.2.3</w:t>
      </w:r>
    </w:p>
    <w:p>
      <w:r>
        <w:t>Nach dem Gesagten sind die Asylvorbringen als glaubhaft zu qualifizieren. Es ist nun zu prüfen, ob diese auch im Sinne von Art. 3 AsylG asylrelevant sind.</w:t>
      </w:r>
    </w:p>
    <w:p>
      <w:r>
        <w:rPr>
          <w:b/>
        </w:rPr>
        <w:t>E. 6.3</w:t>
      </w:r>
    </w:p>
    <w:p>
      <w:r>
        <w:t>Die Frage ist, ob die Beschwerdeführenden zum Zeitpunkt der Ausreise individuellen, gezielt gegen sie gerichteten, intensiven Verfolgungshandlungen aus asylrechtlich relevanten Gründen ausgesetzt waren oder ob sie eine begründete Furcht vor solchen Nachteilen hatten. Weiter ist massgeblich, ob die geltend gemachte Gefährdungslage noch aktuell ist. Geht die Verfolgung von nichtstaatlichen Akteuren aus, ist zu prüfen, ob die Beschwerdeführenden staatlichen Schutz beantragen können. Die Frage nach einer innerstaatlichen Fluchtalternative stellt sich angesichts des syrischen Bürgerkriegs vorliegend nicht.</w:t>
      </w:r>
    </w:p>
    <w:p>
      <w:r>
        <w:rPr>
          <w:b/>
        </w:rPr>
        <w:t>E. 6.3.1</w:t>
      </w:r>
    </w:p>
    <w:p>
      <w:r>
        <w:t>Vorab gilt festzuhalten, dass die alleinige Zugehörigkeit zur kurdischen Ethnie sowie die erlittenen Benachteiligungen, welche die Beschwerdeführenden auch als Maktoum beziehungsweise Ajanib erlebt haben, nicht im Sinne von Art. 3 AsylG asylrelevant sind. Gemäss geltender Rechtsprechung unterliegen die Kurden in Syrien ganz allgemein gesehen keiner Kollektivverfolgung (vgl. dazu Urteil des Bundesverwaltungsgerichts vom 13. September 2016, E. 6.3.3 m.w.H.).</w:t>
      </w:r>
    </w:p>
    <w:p>
      <w:r>
        <w:rPr>
          <w:b/>
        </w:rPr>
        <w:t>E. 6.3.2</w:t>
      </w:r>
    </w:p>
    <w:p>
      <w:r>
        <w:t>Beim Beschwerdeführer handelt es sich jedoch nicht nur um einen ethnischen Kurden, sondern unbestrittenermassen um einen für die kurdische Sache politisch gegen das syrische Regime engagierten Schriftsteller. Ein Verfolgungsinteresse der syrischen Behörden ist demnach nicht abzustreiten. Es wird zwar nicht vorgebracht, dass der Beschwerdeführer offiziell mittels einer behördlichen Vorladung gesucht oder verfolgt wurde, indes erscheint nachvollziehbar, dass Mittelsmänner - vermutlich aus dem Umfeld der PYD - ihn gezielt aufgrund seiner politischen Arbeit behelligt haben. Die konkreten Attentatsversuche als Verfolgungshandlungen weisen denn auch einen bedrohlichen Charakter auf, welche ihn aus Furcht schliesslich veranlasst haben, mit seiner Familie aus dem Kriegsland auszureisen. Indes erreichen diese alleine noch nicht die erforderliche Intensität erlittener Nachteile. Auch scheint die einmalige Bedrohung im Jahr 2011 durch den nationalen Sicherheitsdienst für sich alleine gesehen als nicht asylrelevant. Geht man jedoch von einer Gesamtbetrachtung der Ereignisse aus, ist eine begründete Furcht vor einer künftigen Verfolgung nicht auszuschliessen, denn eine überwiegende Wahrscheinlichkeit spricht dafür, dass sich im heutigen angespannten politischen Kontext in Syrien bei einer (hypothetischen) Rückkehr nach Syrien Befürchtungen weiterer Verfolgungshandlungen gegen den kritischen Schriftsteller und deren Familie verwirklichen könnten.</w:t>
      </w:r>
    </w:p>
    <w:p>
      <w:r>
        <w:rPr>
          <w:b/>
        </w:rPr>
        <w:t>E. 6.3.3</w:t>
      </w:r>
    </w:p>
    <w:p>
      <w:r>
        <w:t>Aufgrund der glaubhaften begründeten Furcht vor einer künftigen Verfolgung (Art. 3 AsylG) erübrigt es sich, auf die weiteren Aspekte der Asylbegründung, die Verfolgung aufgrund der angegebenen Refraktion beziehungsweise exilpolitischen Tätigkeiten, einzugehen.</w:t>
      </w:r>
    </w:p>
    <w:p>
      <w:r>
        <w:rPr>
          <w:b/>
        </w:rPr>
        <w:t>E. 7</w:t>
      </w:r>
    </w:p>
    <w:p>
      <w:r>
        <w:t>Nach dem Gesagten erfüllen die Beschwerdeführenden die Flüchtlingseigenschaft im Sinne von Art. 3 AsylG. Die Vorinstanz hat demnach zu Unrecht die Asylgesuche abgelehnt. Die Beschwerde ist daher gutzuheissen. Das SEM ist anzuweisen, die Beschwerdeführenden als Flüchtlinge anzuerkennen und ihnen in der Schweiz Asyl zu gewähren, zumal keine Hinweise auf das Vorliegen von Ausschlussgründen im Sinne von Art. 53 AsylG ersichtlich sind.</w:t>
      </w:r>
    </w:p>
    <w:p>
      <w:r>
        <w:rPr>
          <w:b/>
        </w:rPr>
        <w:t>E. 8.1</w:t>
      </w:r>
    </w:p>
    <w:p>
      <w:r>
        <w:t>Bei diesem Ausgang des Verfahrens sind keine Kosten zu erheben (Art. 63 Abs. 1 und 2 VwVG).</w:t>
      </w:r>
    </w:p>
    <w:p>
      <w:r>
        <w:rPr>
          <w:b/>
        </w:rPr>
        <w:t>E. 8.2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Die am 7. Juni 2016 eingereichte Kostennote weist bei einem Stundenansatz von Fr. 230.- ein Honorar von Fr. 3'403.67 (inkl. Auslagen und Mehrwertsteuerzuschlag) auf. Gestützt auf die in Betracht zu ziehenden Bemessungsfaktoren (Art. 9-13 VGKE) ist den Beschwerdeführenden zulasten der Vorinstanz eine Parteientschädigung von insgesamt Fr. 3'404.- (inkl. Auslagen und Mehrwertsteuerzuschlag) zuzusprechen.</w:t>
      </w:r>
    </w:p>
    <w:p>
      <w:r>
        <w:rPr>
          <w:b/>
        </w:rPr>
        <w:t>E. 8.3</w:t>
      </w:r>
    </w:p>
    <w:p>
      <w:r>
        <w:t>Auf die verschiedenen Anträge, es sei im Rahmen der unentgeltlichen Rechtspflege eine (summarische) Übersetzung der jeweiligen eingereichten Texte des Beschwerdeführers zu erstellen, ist bei diesem Ausgang des Verfahrens nicht mehr weiter einzugehen.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