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E-7005/2023 vom 26. Januar 2024</w:t>
      </w:r>
    </w:p>
    <w:p>
      <w:r>
        <w:t>Bundesverwaltungsgericht, 2024-01-26, DE</w:t>
      </w:r>
    </w:p>
    <w:p>
      <w:r>
        <w:rPr>
          <w:b/>
        </w:rPr>
        <w:t xml:space="preserve">Quelle: </w:t>
      </w:r>
      <w:r>
        <w:t>https://mcp.opencaselaw.ch/entscheid/bvger_E-7005_2023</w:t>
      </w:r>
    </w:p>
    <w:p>
      <w:r>
        <w:t>FR: TAF E-7005/2023 du 26 janvier 2024</w:t>
      </w:r>
    </w:p>
    <w:p>
      <w:r>
        <w:t>IT: TAF E-7005/2023 del 26 gennaio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w:t>
      </w:r>
    </w:p>
    <w:p>
      <w:r>
        <w:t>E-7005/2023 Seite 4 Art. 111a Abs. 2 AsylG). Gestützt auf Art. 111a Abs. 1 AsylG (i.V.m. Art. 72) wurde auf die Durchführung eines Schriftenwechsels verzichtet.</w:t>
      </w:r>
    </w:p>
    <w:p>
      <w:r>
        <w:rPr>
          <w:b/>
        </w:rPr>
        <w:t>E. 3</w:t>
      </w:r>
    </w:p>
    <w:p>
      <w:r>
        <w:t>Vorab ist festzustellen, dass sich der subeventualiter gestellte formelle An- trag auf Rückweisung der Sache zur Neubeurteilung als unbegründet er- weist. Eine Verletzung verfahrensrechtlicher Vorschriften durch das SEM ist nicht ersichtlich. Der blosse Umstand, dass die Vorinstanz nach Würdi- gung der Parteivorbringen und der Situation der Beschwerdeführerin in Deutschland (beziehungsweise der Situation ihrer Tochter und Enkelin in der Schweiz) zu einem anderen Schluss als diese kommt, stellt keine Ver- letzung des Untersuchungsgrundsatzes dar, sondern beschlägt die Frage der materiellen Würdigung (vgl. unten E. 7.3.3 f.). Das entsprechende Kas- sationsbegehren ist abzuweisen.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w:t>
      </w:r>
    </w:p>
    <w:p>
      <w:r>
        <w:t>E-7005/2023 Seite 5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Das SEM führte zur Begründung der Verfügung im Wesentlichen aus, die Beschwerdeführerin sei im Sinne des Subsidiaritätsprinzips nicht auf den Schutz der Schweiz angewiesen, weil sie in Deutschland einen bis (…) März 2024 gültigen Schutzstatus habe. Die deutschen Behörden hät- ten aus formalistischen Gründen der Rückübernahme nicht zugestimmt. Aufgrund des gültigen Schutzstatus habe sie ein faktisches Aufenthalts- recht in Deutschland und der Wegweisungsvollzug dorthin erweise sich so- mit als zulässig. Der Vollzug der Wegweisung sei sodann zumutbar. Deutschland habe ein gut ausgebautes Gesundheits- und Sozialsystem, womit die gesundheitlichen Probleme der Beschwerdeführerin auch dort behandelt werden könnten. Sie und ihre Tochter und Enkelin könnten sich gegenseitig besuchen.</w:t>
      </w:r>
    </w:p>
    <w:p>
      <w:r>
        <w:rPr>
          <w:b/>
        </w:rPr>
        <w:t>E. 4.4</w:t>
      </w:r>
    </w:p>
    <w:p>
      <w:r>
        <w:t>In der Rechtsmitteleingabe macht die Beschwerdeführerin namentlich geltend, sie sei von ihrer Tochter abhängig. Sie habe diverse psychische und physische Leiden, sei alleinstehend und (…) Jahre alt. In der Ukraine habe sie mit der Tochter und Enkelin zusammengewohnt. Umgekehrt sei sie auch ihrer Tochter eine wichtige Stütze und stelle – neben der Tochter – die wichtigste Bezugsperson für ihre Enkelin dar. Sie verfüge über keinen Schutzstatus mehr in Deutschland, weil sie diesbezüglich eine Verzichts- erklärung unterschrieben habe. Die deutschen Behörden hätten deshalb das Übernahmegesuch abgelehnt. In den EU- und EFTA-Staaten gebe es noch kein einheitliches Vorgehen bezüglich der Zuständigkeiten für die Prüfung und Gewährung vorübergehenden Schutzes, weshalb das er- suchte Land zuständig sei. Dem vom SEM zitierten Urteil E-5383/2022 liege ein anderer Sachverhalt zugrunde, weil dort die griechischen Behör- den dem Übernahmegesuch zugestimmt hätten. Der Wegweisungsvollzug sei daher unzulässig und unzumutbar. Sie sei eine ältere Frau mit zahlrei- chen Gebrechen, die vor allem in der fremden Umgebung mit einer frem- den Sprache auf die Unterstützung ihrer Tochter angewiesen sei. Für die Gesundheit sowie das Kindeswohl ihrer Enkelin, die sich in der Schweiz stabilisieren sollte, sei die Wiedervereinigung wichtig.</w:t>
      </w:r>
    </w:p>
    <w:p>
      <w:r>
        <w:rPr>
          <w:b/>
        </w:rPr>
        <w:t>E. 5.1</w:t>
      </w:r>
    </w:p>
    <w:p>
      <w:r>
        <w:t>Das Bundesverwaltungsgericht schliesst sich der Argumentation in der angefochtenen Verfügung an, welcher die Beschwerdeführerin letztlich</w:t>
      </w:r>
    </w:p>
    <w:p>
      <w:r>
        <w:t>E-7005/2023 Seite 6 nichts Entscheidendes entgegenzuhalten vermag (vgl. auch angefochtene Verfügung Ziffer II).</w:t>
      </w:r>
    </w:p>
    <w:p>
      <w:r>
        <w:rPr>
          <w:b/>
        </w:rPr>
        <w:t>E. 5.2</w:t>
      </w:r>
    </w:p>
    <w:p>
      <w:r>
        <w:t>Zwar besagt § 51 Abs. 1 Ziffer 6 des deutschen Gesetzes über den Aufenthalt, die Erwerbstätigkeit und die Integration von Ausländern im Bun- desgebiet (Aufenthaltsgesetz [AufenthG]), dass der Aufenthaltsstatus be- endet wird, wenn der Ausländer aus einem seiner Natur nach nicht vorüber- gehendem Grunde ausreist, worunter wohl auch eine Wohnsitzverlegung ins Ausland fallen dürfte. Indes bedingt eine solche Wohnsitzverlegung – wie vorliegend – in die Schweiz, dass die Schweiz eine solche Wohnsitz- nahme bewilligt, was in casu nicht der Fall ist: Das SEM hat nämlich der Beschwerdeführerin zu Recht keinen Aufenthaltsstatus zugesprochen, zu- mal sie nachweislich in Deutschland nach wie vor über einen bis zum (…) März 2024 gültigen Schutzstatus im Sinne von § 24 AufenthG verfügt. Die Gewährung des Schutzstatus S in der Schweiz für eine Person ist grundsätzlich dann ausgeschlossen, wenn dieser – wie vorliegend – be- reits in einem anderen EU-Staat der Schutzstatus (gemäss der Richtlinie 2001/55/EG) zugesprochen wurde (vgl. Urteil des BVGer E-6452/2023 vom 8. Dezember 2023 E. 4.4). Das Vorgehen des SEM, das Gesuch um Gewährung vorübergehenden Schutzes gestützt auf das Subsidiaritäts- prinzip abzulehnen, ist daher nicht zu beanstanden. Dass die Gültigkeit ih- res Schutzstatus durch den Wegzug in die Schweiz dahingefallen sei, geht – entgegen der Behauptung in der Beschwerde – aus den Akten nicht her- vor. Vielmehr ist der E-Mail der deutschen Behörden vom 23. Oktober 2023 zu entnehmen, dass der Schutzstatus in Deutschland erst am (…) März 2024 abläuft. Die sinngemässe Annahme in der Beschwerde, dass die deutschen Behörden die Beschwerdeführerin bei einer Rückkehr nicht wie- der aufnehmen würden, erweist sich sodann auch deshalb als unbegrün- det, da Deutschland Anträge von ukrainischen Personen (mit ehemaligem Schutzstatus), die aus Deutschland in den Heimatstaat oder ins Ausland weggezogen sind, erneut und wohlwollend prüft (vgl. dazu die online-An- gaben des BAMF: &lt; https://www.germany4ukraine.de/hilfeportal-de/ einreise-aufenthalt-und-rueckkehr/rueckkehr-ukraine &gt;, letztmals abgeru- fen am 16. Januar 2024).</w:t>
      </w:r>
    </w:p>
    <w:p>
      <w:r>
        <w:rPr>
          <w:b/>
        </w:rPr>
        <w:t>E. 5.3</w:t>
      </w:r>
    </w:p>
    <w:p>
      <w:r>
        <w:t>Die Vorinstanz hat folglich das Gesuch um vorübergehenden Schutz zu Recht abgelehnt.</w:t>
      </w:r>
    </w:p>
    <w:p>
      <w:r>
        <w:t>E-7005/2023 Seite 7</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7.2.2</w:t>
      </w:r>
    </w:p>
    <w:p>
      <w:r>
        <w:t>Wie vom SEM zu Recht erwogen (vgl. Verfügung Ziffer III 1.), hat die Beschwerdeführerin in der Schweiz kein Asylgesuch gestellt, weshalb das flüchtlingsrechtliche Refoulement-Verbot von Vornherein nicht zum Tragen kommt. Sie verfügt – wie besehen – in Deutschland über einen gültigen Schutzstatus. Anhaltspunkte für eine ihr dort drohende menschenrechts- widrige Behandlung sind – einhergehend mit dem SEM – keine ersichtlich.</w:t>
      </w:r>
    </w:p>
    <w:p>
      <w:r>
        <w:t>E-7005/2023 Seite 8</w:t>
      </w:r>
    </w:p>
    <w:p>
      <w:r>
        <w:rPr>
          <w:b/>
        </w:rPr>
        <w:t>E. 7.2.3</w:t>
      </w:r>
    </w:p>
    <w:p>
      <w:r>
        <w:t>Die belegten gesundheitlichen Beschwerden der Beschwerdeführe- rin ([…]) sind zwar bedauerlich, aber in ihrer Gesamtheit nicht derart gra- vierend, als dass eine Überstellung nach Deutschland eine tatsächliche Gefahr (real risk) einer Verletzung von Art. 3 EMRK mit sich bringen würde (vgl. BVGE 2011/9 E. 7 m.H.a. die Rechtsprechung des EGMR sowie Urteil des EGMR P. gegen Belgien vom 13. Dezember 2016 [Nr. 41738/10]). Der Vollzug der Wegweisung erweist sich daher als zulässig.</w:t>
      </w:r>
    </w:p>
    <w:p>
      <w:r>
        <w:rPr>
          <w:b/>
        </w:rPr>
        <w:t>E. 7.3.1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7.3.2</w:t>
      </w:r>
    </w:p>
    <w:p>
      <w:r>
        <w:t>In Übereinstimmung mit dem SEM ist der Wegweisungsvollzug nach Deutschland auch als zumutbar zu erachten (vgl. Verfügung Ziffer III 2.). So hat das SEM zu Recht erwogen, dass gemäss Art. 83 Abs. 5 AIG die Vermutung besteht, wonach der Vollzug der Wegweisung in einen EFTA- oder wie vorliegend in einen EU-Staat wie Deutschland – in der Regel zu- mutbar ist (vgl. Anhang 2 der Verordnung über den Vollzug der Weg- und Ausweisung sowie der Landesverweisung von ausländischen Personen [VVWAL, SR 142.281]). Diese gesetzliche Vermutung vermag die Be- schwerdeführerin nicht zu widerlegen, da keine Anhaltpunkte dafür vorge- bracht werden, dass sie in Deutschland aufgrund von individuellen Um- ständen sozialer, wirtschaftlicher oder gesundheitlicher Art in eine existen- zielle Notlage geraten würde. Ausserdem hat die Beschwerdeführerin – wie vom SEM aufgezeigt – die Möglichkeit, in Deutschland Unterstützung bei den Behörden zu beantragen.</w:t>
      </w:r>
    </w:p>
    <w:p>
      <w:r>
        <w:rPr>
          <w:b/>
        </w:rPr>
        <w:t>E. 7.3.3</w:t>
      </w:r>
    </w:p>
    <w:p>
      <w:r>
        <w:t>Auch ihre gesundheitlichen Beschwerden stehen der Zumutbarkeit des Wegweisungsvollzugs nicht entgegen. Die Vorinstanz hat diesbezüg- lich dem Untersuchungsgrundsatz – wie bereits erwähnt – hinreichend Rechnung getragen und zutreffend festgehalten, dass Deutschland ein gut ausgebautes Gesundheitssystem vorzuweisen hat, auf welches die Be- schwerdeführerin Anspruch hat. Aus den Beschwerdebeilagen geht so- dann hervor, dass sie in Deutschland bereits in ärztlicher Behandlung war. Vor diesem Hintergrund ist davon auszugehen, dass sie dort auch weiter- hin die erforderliche Behandlung ihrer als nicht lebensbedrohlich zu quali- fizierenden gesundheitlichen Beschwerden erhalten wird.</w:t>
      </w:r>
    </w:p>
    <w:p>
      <w:r>
        <w:t>E-7005/2023 Seite 9</w:t>
      </w:r>
    </w:p>
    <w:p>
      <w:r>
        <w:rPr>
          <w:b/>
        </w:rPr>
        <w:t>E. 7.3.4</w:t>
      </w:r>
    </w:p>
    <w:p>
      <w:r>
        <w:t>Aus ihrer Beziehung zur in der Schweiz lebenden erwachsenen Toch- ter und ihrer Enkelin vermag die Beschwerdeführerin nichts zu ihren Guns- ten abzuleiten. Der Wunsch nach einem Zusammenleben mit ihrer Familie und ihr Bedürfnis, ihre Tochter bei der Betreuung der Enkelin zu unterstüt- zen, sind zwar nachvollziehbar, aber offensichtlich nicht vollzugshinderlich. Insbesondere ergeben sich aus den Akten keine konkreten Hinweise dafür, dass die Tochter dauerhaft und zwingend auf die persönliche Hilfe der Be- schwerdeführerin angewiesen ist. Der Vollständigkeit halber ist festzuhal- ten, dass die B._______ der Tochter mit Verfügung vom 13. Dezember 2023 die Kostenübernahme für eine sozialpädagogische Familienbeglei- tung zugesprochen hat (vgl. Beschwerdebeilage). Aus den Akten geht so- dann auch nicht hervor, dass die Beschwerdeführerin, die weder hochbe- tagt noch schwer krank ist, auf die ständige Betreuung und Pflege ihrer Tochter angewiesen wäre. In diesem Zusammenhang ist auf das zutref- fende Argument der Vorinstanz zu verweisen, wonach sie seit Mai 2022 bis zu ihrer Einreise in die Schweiz am (…) Oktober 2023 in Deutschland ohne ihre Tochter gelebt hat. Überdies kann sie die Beziehung zu ihren Famili- enmitgliedern grenzüberschreitend pflegen, da mit der Überstellung nach Deutschland weder ein digitaler (beispielsweise mit Videotelefonie über Skype) noch ein telefonischer Kontakt verunmöglicht wird. Weiter hat sie sich in Deutschland gemäss den Akten in C._______ beziehungsweise in D._______ (im […] Deutschlands) aufgehalten, womit es ihr auch zumut- bar ist, sich für die Aufrechterhaltung der Beziehung zu ihrer Enkelin und Tochter zu Besuch in die Schweiz zu begeben. Auch ihrer Tochter steht es frei, die Beschwerdeführerin (gemeinsam mit der Enkelin) in Deutschland zu besuchen. Somit steht eine Überstellung nach Deutschland auch dem in Art. 3 des Übereinkommens über die Rechte des Kindes vom 20. No- vember 1989 (KRK, SR 0.107) verankerten Schutz des Kindeswohls nicht entgegen.</w:t>
      </w:r>
    </w:p>
    <w:p>
      <w:r>
        <w:rPr>
          <w:b/>
        </w:rPr>
        <w:t>E. 7.4.1</w:t>
      </w:r>
    </w:p>
    <w:p>
      <w:r>
        <w:t>Der Vollzug ist schliesslich nicht möglich, wenn die Ausländerin oder der Ausländer weder in den Heimat- oder in den Herkunftsstaat noch in einen Drittstaat ausreisen oder dorthin gebracht werden kann (Art. 83 Abs. 2 AIG).</w:t>
      </w:r>
    </w:p>
    <w:p>
      <w:r>
        <w:rPr>
          <w:b/>
        </w:rPr>
        <w:t>E. 7.4.2</w:t>
      </w:r>
    </w:p>
    <w:p>
      <w:r>
        <w:t>Da die Beschwerdeführerin im Besitze eines gültigen ukrainischen Reisepasses sowie Inlandpasses ist und in Deutschland über eine gültige Aufenthaltserlaubnis verfügt, ist schliesslich auch von der Möglichkeit des Wegweisungsvollzugs auszugehen (Art. 83 Abs. 2 AIG).</w:t>
      </w:r>
    </w:p>
    <w:p>
      <w:r>
        <w:t>E-7005/2023 Seite 10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Nach dem Gesagten erweisen sich die in der Beschwerde gestellten Begehren als aussichtslos. Das gestellte Gesuch um Gewährung der un- entgeltlichen Prozessführung ist abzuweisen, da es an einer zwingenden Voraussetzung nach Art. 65 Abs. 1 VwVG mangelt. Das Gesuch um Ge- währung der unentgeltlichen Rechtsverbeiständung (Art. 65 Abs. 1 VwVG i.V.m. Art. 102m Abs. 1 Bst. d AsylG) ist infolge der festgestellten Aussichts- losigkeit der Rechtsbegehren ebenfalls abzuweisen.</w:t>
      </w:r>
    </w:p>
    <w:p>
      <w:r>
        <w:rPr>
          <w:b/>
        </w:rPr>
        <w:t>E. 9.2</w:t>
      </w:r>
    </w:p>
    <w:p>
      <w:r>
        <w:t>Die Verfahrenskosten sind der Beschwerdeführerin aufzuerlegen (Art. 63 Abs. 1 VwVG) und auf insgesamt Fr. 750.– festzusetzen (Art. 1–3 des Reglements vom 21. Februar 2008 über die Kosten und Entschädigun- gen vor dem Bundesverwaltungsgericht [VGKE, SR 173.320.2]). Das Gesuch um Erlass von der Kostenvorschusspflicht wird mit vorliegen- dem Urteil gegenstandslos. (Dispositiv nächste Seite)</w:t>
      </w:r>
    </w:p>
    <w:p>
      <w:r>
        <w:t>E-7005/2023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